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911" w14:textId="77777777" w:rsidR="00BD3712" w:rsidRPr="006706EA" w:rsidRDefault="00BD3712" w:rsidP="00BD3712">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 xml:space="preserve">Committee to Evaluate Telemedicine for Aid-in-Dying Requests in the Context of the Coronavirus Epidemic. </w:t>
      </w:r>
    </w:p>
    <w:p w14:paraId="70EB00BB" w14:textId="77777777" w:rsidR="00BD3712" w:rsidRPr="006706EA" w:rsidRDefault="00BD3712" w:rsidP="30FA8686">
      <w:pPr>
        <w:rPr>
          <w:rFonts w:eastAsiaTheme="minorEastAsia" w:cstheme="minorHAnsi"/>
          <w:sz w:val="22"/>
          <w:szCs w:val="22"/>
        </w:rPr>
      </w:pPr>
    </w:p>
    <w:p w14:paraId="3AFD50B3" w14:textId="3AD60FEE" w:rsidR="30FA8686" w:rsidRPr="006706EA" w:rsidRDefault="30FA8686" w:rsidP="30FA8686">
      <w:pPr>
        <w:rPr>
          <w:rFonts w:eastAsiaTheme="minorEastAsia" w:cstheme="minorHAnsi"/>
          <w:sz w:val="22"/>
          <w:szCs w:val="22"/>
        </w:rPr>
      </w:pPr>
      <w:r w:rsidRPr="006706EA">
        <w:rPr>
          <w:rFonts w:eastAsiaTheme="minorEastAsia" w:cstheme="minorHAnsi"/>
          <w:sz w:val="22"/>
          <w:szCs w:val="22"/>
        </w:rPr>
        <w:t>Telemedicine Policy Statement, March 2</w:t>
      </w:r>
      <w:r w:rsidR="00990FAD">
        <w:rPr>
          <w:rFonts w:eastAsiaTheme="minorEastAsia" w:cstheme="minorHAnsi"/>
          <w:sz w:val="22"/>
          <w:szCs w:val="22"/>
        </w:rPr>
        <w:t>5</w:t>
      </w:r>
      <w:r w:rsidRPr="006706EA">
        <w:rPr>
          <w:rFonts w:eastAsiaTheme="minorEastAsia" w:cstheme="minorHAnsi"/>
          <w:sz w:val="22"/>
          <w:szCs w:val="22"/>
        </w:rPr>
        <w:t>, 2020</w:t>
      </w:r>
    </w:p>
    <w:p w14:paraId="0A3E58F9" w14:textId="13654EEA" w:rsidR="30FA8686" w:rsidRPr="006706EA" w:rsidRDefault="30FA8686" w:rsidP="30FA8686">
      <w:pPr>
        <w:rPr>
          <w:rFonts w:eastAsiaTheme="minorEastAsia" w:cstheme="minorHAnsi"/>
          <w:sz w:val="22"/>
          <w:szCs w:val="22"/>
        </w:rPr>
      </w:pPr>
    </w:p>
    <w:p w14:paraId="70897163" w14:textId="42720029" w:rsidR="002A4BB6" w:rsidRPr="006706EA" w:rsidRDefault="002A4BB6" w:rsidP="30FA8686">
      <w:pPr>
        <w:rPr>
          <w:rFonts w:eastAsiaTheme="minorEastAsia" w:cstheme="minorHAnsi"/>
          <w:i/>
          <w:iCs/>
          <w:color w:val="000000" w:themeColor="text1"/>
          <w:sz w:val="22"/>
          <w:szCs w:val="22"/>
        </w:rPr>
      </w:pPr>
      <w:r w:rsidRPr="006706EA">
        <w:rPr>
          <w:rFonts w:eastAsiaTheme="minorEastAsia" w:cstheme="minorHAnsi"/>
          <w:color w:val="000000"/>
          <w:sz w:val="22"/>
          <w:szCs w:val="22"/>
          <w:bdr w:val="none" w:sz="0" w:space="0" w:color="auto" w:frame="1"/>
        </w:rPr>
        <w:t xml:space="preserve">In light of the coronavirus crisis, </w:t>
      </w:r>
      <w:r w:rsidR="003B13A9" w:rsidRPr="006706EA">
        <w:rPr>
          <w:rFonts w:eastAsiaTheme="minorEastAsia" w:cstheme="minorHAnsi"/>
          <w:color w:val="000000"/>
          <w:sz w:val="22"/>
          <w:szCs w:val="22"/>
          <w:bdr w:val="none" w:sz="0" w:space="0" w:color="auto" w:frame="1"/>
        </w:rPr>
        <w:t xml:space="preserve">a committee has been convened to establish </w:t>
      </w:r>
      <w:r w:rsidRPr="006706EA">
        <w:rPr>
          <w:rFonts w:eastAsiaTheme="minorEastAsia" w:cstheme="minorHAnsi"/>
          <w:color w:val="000000"/>
          <w:sz w:val="22"/>
          <w:szCs w:val="22"/>
          <w:bdr w:val="none" w:sz="0" w:space="0" w:color="auto" w:frame="1"/>
        </w:rPr>
        <w:t xml:space="preserve">recommendations pertaining to the use of telemedicine to evaluate patients’ requests to consider medical aid in dying.  (See below for members of the policy committee.) </w:t>
      </w:r>
    </w:p>
    <w:p w14:paraId="26A1F438" w14:textId="0B4D3826" w:rsidR="002A4BB6" w:rsidRPr="006706EA" w:rsidRDefault="002A4BB6" w:rsidP="30FA8686">
      <w:pPr>
        <w:rPr>
          <w:rFonts w:eastAsiaTheme="minorEastAsia" w:cstheme="minorHAnsi"/>
          <w:i/>
          <w:iCs/>
          <w:color w:val="000000" w:themeColor="text1"/>
          <w:sz w:val="22"/>
          <w:szCs w:val="22"/>
        </w:rPr>
      </w:pPr>
    </w:p>
    <w:p w14:paraId="233507F5" w14:textId="67AF6A19" w:rsidR="002A4BB6" w:rsidRPr="006706EA" w:rsidRDefault="30FA8686" w:rsidP="30FA8686">
      <w:pPr>
        <w:rPr>
          <w:rFonts w:eastAsiaTheme="minorEastAsia" w:cstheme="minorHAnsi"/>
          <w:i/>
          <w:iCs/>
          <w:color w:val="000000" w:themeColor="text1"/>
          <w:sz w:val="22"/>
          <w:szCs w:val="22"/>
        </w:rPr>
      </w:pPr>
      <w:r w:rsidRPr="006706EA">
        <w:rPr>
          <w:rFonts w:eastAsiaTheme="minorEastAsia" w:cstheme="minorHAnsi"/>
          <w:i/>
          <w:iCs/>
          <w:color w:val="000000" w:themeColor="text1"/>
          <w:sz w:val="22"/>
          <w:szCs w:val="22"/>
        </w:rPr>
        <w:t>For the purposes of this policy statement, “telemedicine” and/or “telehealth” refers to a visual and verbal patient contact by electronic means, without an in-person visit.</w:t>
      </w:r>
    </w:p>
    <w:p w14:paraId="61464427" w14:textId="0CF78B34" w:rsidR="002A4BB6" w:rsidRPr="006706EA" w:rsidRDefault="002A4BB6" w:rsidP="30FA8686">
      <w:pPr>
        <w:rPr>
          <w:rFonts w:eastAsiaTheme="minorEastAsia" w:cstheme="minorHAnsi"/>
          <w:color w:val="000000" w:themeColor="text1"/>
          <w:sz w:val="22"/>
          <w:szCs w:val="22"/>
        </w:rPr>
      </w:pPr>
    </w:p>
    <w:p w14:paraId="443E4040" w14:textId="409188AB" w:rsidR="002A4BB6" w:rsidRPr="006706EA" w:rsidRDefault="30FA8686" w:rsidP="30FA8686">
      <w:pPr>
        <w:rPr>
          <w:rFonts w:eastAsiaTheme="minorEastAsia" w:cstheme="minorHAnsi"/>
          <w:color w:val="000000"/>
          <w:sz w:val="22"/>
          <w:szCs w:val="22"/>
          <w:bdr w:val="none" w:sz="0" w:space="0" w:color="auto" w:frame="1"/>
        </w:rPr>
      </w:pPr>
      <w:r w:rsidRPr="006706EA">
        <w:rPr>
          <w:rFonts w:eastAsiaTheme="minorEastAsia" w:cstheme="minorHAnsi"/>
          <w:color w:val="000000" w:themeColor="text1"/>
          <w:sz w:val="22"/>
          <w:szCs w:val="22"/>
        </w:rPr>
        <w:t>Long before the onset of the coronavirus pandemic, m</w:t>
      </w:r>
      <w:r w:rsidR="002A4BB6" w:rsidRPr="006706EA">
        <w:rPr>
          <w:rFonts w:eastAsiaTheme="minorEastAsia" w:cstheme="minorHAnsi"/>
          <w:color w:val="000000"/>
          <w:sz w:val="22"/>
          <w:szCs w:val="22"/>
          <w:bdr w:val="none" w:sz="0" w:space="0" w:color="auto" w:frame="1"/>
        </w:rPr>
        <w:t xml:space="preserve">any established aid-in-dying clinicians used telemedicine visits to evaluate select aspects of </w:t>
      </w:r>
      <w:r w:rsidR="00BD3712" w:rsidRPr="006706EA">
        <w:rPr>
          <w:rFonts w:eastAsiaTheme="minorEastAsia" w:cstheme="minorHAnsi"/>
          <w:color w:val="000000"/>
          <w:sz w:val="22"/>
          <w:szCs w:val="22"/>
          <w:bdr w:val="none" w:sz="0" w:space="0" w:color="auto" w:frame="1"/>
        </w:rPr>
        <w:t>terminally ill</w:t>
      </w:r>
      <w:r w:rsidR="002A4BB6" w:rsidRPr="006706EA">
        <w:rPr>
          <w:rFonts w:eastAsiaTheme="minorEastAsia" w:cstheme="minorHAnsi"/>
          <w:color w:val="000000"/>
          <w:sz w:val="22"/>
          <w:szCs w:val="22"/>
          <w:bdr w:val="none" w:sz="0" w:space="0" w:color="auto" w:frame="1"/>
        </w:rPr>
        <w:t xml:space="preserve"> patients’ requests to consider medical aid in dying.  Given the need to limit in-person contacts to decrease the speed of contagion of coronavirus, an increased use of telemedicine for select aspects of aid-in-dying evaluations and care</w:t>
      </w:r>
      <w:r w:rsidR="00BD3712" w:rsidRPr="006706EA">
        <w:rPr>
          <w:rFonts w:eastAsiaTheme="minorEastAsia" w:cstheme="minorHAnsi"/>
          <w:color w:val="000000"/>
          <w:sz w:val="22"/>
          <w:szCs w:val="22"/>
          <w:bdr w:val="none" w:sz="0" w:space="0" w:color="auto" w:frame="1"/>
        </w:rPr>
        <w:t xml:space="preserve"> is recommended. </w:t>
      </w:r>
    </w:p>
    <w:p w14:paraId="2A34E230" w14:textId="49D60BA7" w:rsidR="006706EA" w:rsidRPr="006706EA" w:rsidRDefault="006706EA" w:rsidP="30FA8686">
      <w:pPr>
        <w:rPr>
          <w:rFonts w:eastAsiaTheme="minorEastAsia" w:cstheme="minorHAnsi"/>
          <w:color w:val="000000"/>
          <w:sz w:val="22"/>
          <w:szCs w:val="22"/>
          <w:bdr w:val="none" w:sz="0" w:space="0" w:color="auto" w:frame="1"/>
        </w:rPr>
      </w:pPr>
    </w:p>
    <w:p w14:paraId="3389D2B2" w14:textId="4F34528E" w:rsidR="006706EA" w:rsidRPr="006706EA" w:rsidRDefault="006706EA" w:rsidP="30FA8686">
      <w:pPr>
        <w:rPr>
          <w:rFonts w:eastAsiaTheme="minorEastAsia" w:cstheme="minorHAnsi"/>
          <w:b/>
          <w:bCs/>
          <w:sz w:val="22"/>
          <w:szCs w:val="22"/>
        </w:rPr>
      </w:pPr>
      <w:r w:rsidRPr="006706EA">
        <w:rPr>
          <w:rFonts w:eastAsiaTheme="minorEastAsia" w:cstheme="minorHAnsi"/>
          <w:b/>
          <w:bCs/>
          <w:color w:val="000000"/>
          <w:sz w:val="22"/>
          <w:szCs w:val="22"/>
          <w:bdr w:val="none" w:sz="0" w:space="0" w:color="auto" w:frame="1"/>
        </w:rPr>
        <w:t xml:space="preserve">Basis for the Recommendations: </w:t>
      </w:r>
    </w:p>
    <w:p w14:paraId="0D422736" w14:textId="1491A439" w:rsidR="002A4BB6" w:rsidRPr="006706EA" w:rsidRDefault="002A4BB6" w:rsidP="30FA8686">
      <w:pPr>
        <w:rPr>
          <w:rFonts w:eastAsiaTheme="minorEastAsia" w:cstheme="minorHAnsi"/>
          <w:color w:val="000000" w:themeColor="text1"/>
          <w:sz w:val="22"/>
          <w:szCs w:val="22"/>
        </w:rPr>
      </w:pPr>
    </w:p>
    <w:p w14:paraId="41606C6E" w14:textId="6BD5BADC" w:rsidR="002A4BB6" w:rsidRPr="006706EA" w:rsidRDefault="30FA8686" w:rsidP="30FA8686">
      <w:pPr>
        <w:rPr>
          <w:rFonts w:eastAsiaTheme="minorEastAsia" w:cstheme="minorHAnsi"/>
          <w:sz w:val="22"/>
          <w:szCs w:val="22"/>
        </w:rPr>
      </w:pPr>
      <w:r w:rsidRPr="006706EA">
        <w:rPr>
          <w:rFonts w:eastAsiaTheme="minorEastAsia" w:cstheme="minorHAnsi"/>
          <w:color w:val="000000" w:themeColor="text1"/>
          <w:sz w:val="22"/>
          <w:szCs w:val="22"/>
        </w:rPr>
        <w:t>These recommendations are based on review of Medicare recommendations for the increased use of telemedicine, with the full understanding that Medicare does not participate in aid-in-dying evaluations, care, or billing.  However, th</w:t>
      </w:r>
      <w:r w:rsidR="003B13A9" w:rsidRPr="006706EA">
        <w:rPr>
          <w:rFonts w:eastAsiaTheme="minorEastAsia" w:cstheme="minorHAnsi"/>
          <w:color w:val="000000" w:themeColor="text1"/>
          <w:sz w:val="22"/>
          <w:szCs w:val="22"/>
        </w:rPr>
        <w:t>e</w:t>
      </w:r>
      <w:r w:rsidRPr="006706EA">
        <w:rPr>
          <w:rFonts w:eastAsiaTheme="minorEastAsia" w:cstheme="minorHAnsi"/>
          <w:color w:val="000000" w:themeColor="text1"/>
          <w:sz w:val="22"/>
          <w:szCs w:val="22"/>
        </w:rPr>
        <w:t xml:space="preserve"> </w:t>
      </w:r>
      <w:r w:rsidR="003B13A9" w:rsidRPr="006706EA">
        <w:rPr>
          <w:rFonts w:eastAsiaTheme="minorEastAsia" w:cstheme="minorHAnsi"/>
          <w:color w:val="000000" w:themeColor="text1"/>
          <w:sz w:val="22"/>
          <w:szCs w:val="22"/>
        </w:rPr>
        <w:t xml:space="preserve">Committee’s </w:t>
      </w:r>
      <w:r w:rsidRPr="006706EA">
        <w:rPr>
          <w:rFonts w:eastAsiaTheme="minorEastAsia" w:cstheme="minorHAnsi"/>
          <w:color w:val="000000" w:themeColor="text1"/>
          <w:sz w:val="22"/>
          <w:szCs w:val="22"/>
        </w:rPr>
        <w:t xml:space="preserve">policy statement seriously considers Medicare’s role in establishing standards of care and practice across the country.  Medicare has conveyed a sense of urgency in expanding telemedicine services as part of legitimate practice during the coronavirus public health crisis. </w:t>
      </w:r>
    </w:p>
    <w:p w14:paraId="746207B3" w14:textId="6C84345F" w:rsidR="002A4BB6" w:rsidRPr="006706EA" w:rsidRDefault="00EE2342" w:rsidP="30FA8686">
      <w:pPr>
        <w:pStyle w:val="ListParagraph"/>
        <w:numPr>
          <w:ilvl w:val="0"/>
          <w:numId w:val="4"/>
        </w:numPr>
        <w:rPr>
          <w:rFonts w:cstheme="minorHAnsi"/>
          <w:color w:val="000000" w:themeColor="text1"/>
          <w:sz w:val="22"/>
          <w:szCs w:val="22"/>
        </w:rPr>
      </w:pPr>
      <w:hyperlink r:id="rId5">
        <w:r w:rsidR="30FA8686" w:rsidRPr="006706EA">
          <w:rPr>
            <w:rStyle w:val="Hyperlink"/>
            <w:rFonts w:eastAsiaTheme="minorEastAsia" w:cstheme="minorHAnsi"/>
            <w:color w:val="000000" w:themeColor="text1"/>
            <w:sz w:val="22"/>
            <w:szCs w:val="22"/>
          </w:rPr>
          <w:t>https://tinyurl.com/AID-Telehealth-Medicare</w:t>
        </w:r>
      </w:hyperlink>
      <w:r w:rsidR="30FA8686" w:rsidRPr="006706EA">
        <w:rPr>
          <w:rFonts w:eastAsiaTheme="minorEastAsia" w:cstheme="minorHAnsi"/>
          <w:color w:val="000000" w:themeColor="text1"/>
          <w:sz w:val="22"/>
          <w:szCs w:val="22"/>
          <w:u w:val="single"/>
        </w:rPr>
        <w:t xml:space="preserve">: </w:t>
      </w:r>
      <w:r w:rsidR="30FA8686" w:rsidRPr="006706EA">
        <w:rPr>
          <w:rFonts w:eastAsiaTheme="minorEastAsia" w:cstheme="minorHAnsi"/>
          <w:i/>
          <w:iCs/>
          <w:color w:val="000000" w:themeColor="text1"/>
          <w:sz w:val="22"/>
          <w:szCs w:val="22"/>
        </w:rPr>
        <w:t>“…the Centers for Medicare &amp; Medicaid Services (CMS) has broadened access to Medicare telehealth services so that beneficiaries can receive a wider range of services from their doctors without having to travel to a healthcare facility…These visits are considered the same as in-person visits...</w:t>
      </w:r>
    </w:p>
    <w:p w14:paraId="7B7F14B2" w14:textId="3736BEC2" w:rsidR="002A4BB6" w:rsidRPr="006706EA" w:rsidRDefault="30FA8686" w:rsidP="30FA8686">
      <w:pPr>
        <w:pStyle w:val="ListParagraph"/>
        <w:numPr>
          <w:ilvl w:val="0"/>
          <w:numId w:val="4"/>
        </w:numPr>
        <w:rPr>
          <w:rFonts w:cstheme="minorHAnsi"/>
          <w:color w:val="000000" w:themeColor="text1"/>
          <w:sz w:val="22"/>
          <w:szCs w:val="22"/>
        </w:rPr>
      </w:pPr>
      <w:r w:rsidRPr="006706EA">
        <w:rPr>
          <w:rFonts w:eastAsiaTheme="minorEastAsia" w:cstheme="minorHAnsi"/>
          <w:color w:val="000000" w:themeColor="text1"/>
          <w:sz w:val="22"/>
          <w:szCs w:val="22"/>
        </w:rPr>
        <w:t>Medicare notice to patients:</w:t>
      </w:r>
      <w:r w:rsidRPr="006706EA">
        <w:rPr>
          <w:rFonts w:eastAsiaTheme="minorEastAsia" w:cstheme="minorHAnsi"/>
          <w:i/>
          <w:iCs/>
          <w:color w:val="000000" w:themeColor="text1"/>
          <w:sz w:val="22"/>
          <w:szCs w:val="22"/>
        </w:rPr>
        <w:t> “If you have an existing healthcare appointment, or think you need to see your doctor, please call them first to see if your appointment can be conducted over a smartphone with video capability or any device using video technology, like a tablet or a laptop. For some appointments, a simple check-in over the phone without video capabilities may suffice.”</w:t>
      </w:r>
    </w:p>
    <w:p w14:paraId="0B4CD9C2" w14:textId="12BB9A4C" w:rsidR="002A4BB6" w:rsidRPr="006706EA" w:rsidRDefault="002A4BB6" w:rsidP="30FA8686">
      <w:pPr>
        <w:rPr>
          <w:rFonts w:eastAsiaTheme="minorEastAsia" w:cstheme="minorHAnsi"/>
          <w:i/>
          <w:iCs/>
          <w:color w:val="000000" w:themeColor="text1"/>
          <w:sz w:val="22"/>
          <w:szCs w:val="22"/>
        </w:rPr>
      </w:pPr>
    </w:p>
    <w:p w14:paraId="7AD4055B" w14:textId="24ECDCFA" w:rsidR="002A4BB6" w:rsidRPr="006706EA" w:rsidRDefault="30FA8686" w:rsidP="30FA8686">
      <w:pPr>
        <w:rPr>
          <w:rFonts w:eastAsiaTheme="minorEastAsia" w:cstheme="minorHAnsi"/>
          <w:i/>
          <w:iCs/>
          <w:color w:val="000000" w:themeColor="text1"/>
          <w:sz w:val="22"/>
          <w:szCs w:val="22"/>
        </w:rPr>
      </w:pPr>
      <w:r w:rsidRPr="006706EA">
        <w:rPr>
          <w:rFonts w:eastAsiaTheme="minorEastAsia" w:cstheme="minorHAnsi"/>
          <w:color w:val="000000" w:themeColor="text1"/>
          <w:sz w:val="22"/>
          <w:szCs w:val="22"/>
        </w:rPr>
        <w:t xml:space="preserve">The Committee has also sought guidance from published materials on telemedicine by the National Hospice and Palliative Care Organization (NHPCO): </w:t>
      </w:r>
    </w:p>
    <w:p w14:paraId="550B39C8" w14:textId="3DFFD0B8" w:rsidR="002A4BB6" w:rsidRPr="006706EA" w:rsidRDefault="30FA8686" w:rsidP="30FA8686">
      <w:pPr>
        <w:pStyle w:val="ListParagraph"/>
        <w:numPr>
          <w:ilvl w:val="0"/>
          <w:numId w:val="3"/>
        </w:numPr>
        <w:rPr>
          <w:rFonts w:cstheme="minorHAnsi"/>
          <w:color w:val="000000" w:themeColor="text1"/>
          <w:sz w:val="22"/>
          <w:szCs w:val="22"/>
        </w:rPr>
      </w:pPr>
      <w:r w:rsidRPr="006706EA">
        <w:rPr>
          <w:rFonts w:eastAsiaTheme="minorEastAsia" w:cstheme="minorHAnsi"/>
          <w:color w:val="000000" w:themeColor="text1"/>
          <w:sz w:val="22"/>
          <w:szCs w:val="22"/>
        </w:rPr>
        <w:t>“Best Practices for Using Telehealth in Palliative Care” (</w:t>
      </w:r>
      <w:hyperlink r:id="rId6">
        <w:r w:rsidRPr="006706EA">
          <w:rPr>
            <w:rStyle w:val="Hyperlink"/>
            <w:rFonts w:eastAsiaTheme="minorEastAsia" w:cstheme="minorHAnsi"/>
            <w:color w:val="000000" w:themeColor="text1"/>
            <w:sz w:val="22"/>
            <w:szCs w:val="22"/>
          </w:rPr>
          <w:t>https://tinyurl.com/NHPCO-Telemedicine</w:t>
        </w:r>
      </w:hyperlink>
      <w:r w:rsidRPr="006706EA">
        <w:rPr>
          <w:rFonts w:eastAsiaTheme="minorEastAsia" w:cstheme="minorHAnsi"/>
          <w:color w:val="000000" w:themeColor="text1"/>
          <w:sz w:val="22"/>
          <w:szCs w:val="22"/>
        </w:rPr>
        <w:t>):  </w:t>
      </w:r>
      <w:r w:rsidRPr="006706EA">
        <w:rPr>
          <w:rFonts w:eastAsiaTheme="minorEastAsia" w:cstheme="minorHAnsi"/>
          <w:i/>
          <w:iCs/>
          <w:color w:val="000000" w:themeColor="text1"/>
          <w:sz w:val="22"/>
          <w:szCs w:val="22"/>
        </w:rPr>
        <w:t>The use of telehealth has many benefits for patients and healthcare organizations. Many patients experience the immediate benefits of telehealth ... Improved Quality: Timely intervention in a patient’s home improves clinical outcomes and increases patient/family satisfaction due to real-time connection.</w:t>
      </w:r>
    </w:p>
    <w:p w14:paraId="5C69943D" w14:textId="1D410B98" w:rsidR="002A4BB6" w:rsidRPr="006706EA" w:rsidRDefault="002A4BB6" w:rsidP="30FA8686">
      <w:pPr>
        <w:rPr>
          <w:rFonts w:eastAsiaTheme="minorEastAsia" w:cstheme="minorHAnsi"/>
          <w:i/>
          <w:iCs/>
          <w:color w:val="000000" w:themeColor="text1"/>
          <w:sz w:val="22"/>
          <w:szCs w:val="22"/>
        </w:rPr>
      </w:pPr>
    </w:p>
    <w:p w14:paraId="39AB84D7" w14:textId="596BB38E" w:rsidR="002A4BB6" w:rsidRPr="006706EA" w:rsidRDefault="00BD3712" w:rsidP="30FA8686">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 xml:space="preserve">The Committee’s recommendations for the use of Telemedicine in aid in dying evaluations are based on the goals and requirements </w:t>
      </w:r>
      <w:r w:rsidR="30FA8686" w:rsidRPr="006706EA">
        <w:rPr>
          <w:rFonts w:eastAsiaTheme="minorEastAsia" w:cstheme="minorHAnsi"/>
          <w:color w:val="000000" w:themeColor="text1"/>
          <w:sz w:val="22"/>
          <w:szCs w:val="22"/>
        </w:rPr>
        <w:t>of the attending and consulting physician</w:t>
      </w:r>
      <w:r w:rsidRPr="006706EA">
        <w:rPr>
          <w:rFonts w:eastAsiaTheme="minorEastAsia" w:cstheme="minorHAnsi"/>
          <w:color w:val="000000" w:themeColor="text1"/>
          <w:sz w:val="22"/>
          <w:szCs w:val="22"/>
        </w:rPr>
        <w:t>s</w:t>
      </w:r>
      <w:r w:rsidR="30FA8686" w:rsidRPr="006706EA">
        <w:rPr>
          <w:rFonts w:eastAsiaTheme="minorEastAsia" w:cstheme="minorHAnsi"/>
          <w:color w:val="000000" w:themeColor="text1"/>
          <w:sz w:val="22"/>
          <w:szCs w:val="22"/>
        </w:rPr>
        <w:t xml:space="preserve">: </w:t>
      </w:r>
    </w:p>
    <w:p w14:paraId="0F55F875" w14:textId="4660BC11" w:rsidR="002A4BB6" w:rsidRPr="006706EA" w:rsidRDefault="30FA8686" w:rsidP="30FA8686">
      <w:pPr>
        <w:pStyle w:val="ListParagraph"/>
        <w:numPr>
          <w:ilvl w:val="0"/>
          <w:numId w:val="1"/>
        </w:numPr>
        <w:rPr>
          <w:rFonts w:cstheme="minorHAnsi"/>
          <w:b/>
          <w:bCs/>
          <w:color w:val="000000" w:themeColor="text1"/>
          <w:sz w:val="22"/>
          <w:szCs w:val="22"/>
        </w:rPr>
      </w:pPr>
      <w:r w:rsidRPr="006706EA">
        <w:rPr>
          <w:rFonts w:eastAsiaTheme="minorEastAsia" w:cstheme="minorHAnsi"/>
          <w:color w:val="000000" w:themeColor="text1"/>
          <w:sz w:val="22"/>
          <w:szCs w:val="22"/>
        </w:rPr>
        <w:t>Establish the diagnosis, prognosis and decision-making capacity of patients considering medical aid in dying</w:t>
      </w:r>
    </w:p>
    <w:p w14:paraId="475F100B" w14:textId="0FE88668" w:rsidR="002A4BB6" w:rsidRPr="006706EA" w:rsidRDefault="30FA8686" w:rsidP="30FA8686">
      <w:pPr>
        <w:pStyle w:val="ListParagraph"/>
        <w:numPr>
          <w:ilvl w:val="0"/>
          <w:numId w:val="1"/>
        </w:numPr>
        <w:rPr>
          <w:rFonts w:cstheme="minorHAnsi"/>
          <w:b/>
          <w:bCs/>
          <w:color w:val="000000" w:themeColor="text1"/>
          <w:sz w:val="22"/>
          <w:szCs w:val="22"/>
        </w:rPr>
      </w:pPr>
      <w:r w:rsidRPr="006706EA">
        <w:rPr>
          <w:rFonts w:eastAsiaTheme="minorEastAsia" w:cstheme="minorHAnsi"/>
          <w:color w:val="000000" w:themeColor="text1"/>
          <w:sz w:val="22"/>
          <w:szCs w:val="22"/>
        </w:rPr>
        <w:lastRenderedPageBreak/>
        <w:t>Advise these patients of their varied options for care as they approach death</w:t>
      </w:r>
    </w:p>
    <w:p w14:paraId="5FD3C337" w14:textId="6F63C31A" w:rsidR="002A4BB6" w:rsidRPr="006706EA" w:rsidRDefault="30FA8686" w:rsidP="30FA8686">
      <w:pPr>
        <w:pStyle w:val="ListParagraph"/>
        <w:numPr>
          <w:ilvl w:val="0"/>
          <w:numId w:val="1"/>
        </w:numPr>
        <w:rPr>
          <w:rFonts w:cstheme="minorHAnsi"/>
          <w:b/>
          <w:bCs/>
          <w:color w:val="000000" w:themeColor="text1"/>
          <w:sz w:val="22"/>
          <w:szCs w:val="22"/>
        </w:rPr>
      </w:pPr>
      <w:r w:rsidRPr="006706EA">
        <w:rPr>
          <w:rFonts w:eastAsiaTheme="minorEastAsia" w:cstheme="minorHAnsi"/>
          <w:color w:val="000000" w:themeColor="text1"/>
          <w:sz w:val="22"/>
          <w:szCs w:val="22"/>
        </w:rPr>
        <w:t>Inform the patients of the relevant details about medical aid in dying</w:t>
      </w:r>
    </w:p>
    <w:p w14:paraId="7A82E526" w14:textId="69485A7D" w:rsidR="002A4BB6" w:rsidRPr="006706EA" w:rsidRDefault="30FA8686" w:rsidP="30FA8686">
      <w:pPr>
        <w:pStyle w:val="ListParagraph"/>
        <w:numPr>
          <w:ilvl w:val="0"/>
          <w:numId w:val="1"/>
        </w:numPr>
        <w:rPr>
          <w:rFonts w:cstheme="minorHAnsi"/>
          <w:b/>
          <w:bCs/>
          <w:color w:val="000000" w:themeColor="text1"/>
          <w:sz w:val="22"/>
          <w:szCs w:val="22"/>
        </w:rPr>
      </w:pPr>
      <w:r w:rsidRPr="006706EA">
        <w:rPr>
          <w:rFonts w:eastAsiaTheme="minorEastAsia" w:cstheme="minorHAnsi"/>
          <w:color w:val="000000" w:themeColor="text1"/>
          <w:sz w:val="22"/>
          <w:szCs w:val="22"/>
        </w:rPr>
        <w:t>Respond to questions, and assist the patients in final decision making</w:t>
      </w:r>
    </w:p>
    <w:p w14:paraId="18C3B71F" w14:textId="04AA6257" w:rsidR="002A4BB6" w:rsidRPr="006706EA" w:rsidRDefault="002A4BB6" w:rsidP="30FA8686">
      <w:pPr>
        <w:ind w:left="360"/>
        <w:rPr>
          <w:rFonts w:eastAsiaTheme="minorEastAsia" w:cstheme="minorHAnsi"/>
          <w:color w:val="000000" w:themeColor="text1"/>
          <w:sz w:val="22"/>
          <w:szCs w:val="22"/>
        </w:rPr>
      </w:pPr>
    </w:p>
    <w:p w14:paraId="1D2B4FBF" w14:textId="24D9EEB3" w:rsidR="006706EA" w:rsidRPr="006706EA" w:rsidRDefault="006706EA" w:rsidP="006706EA">
      <w:pPr>
        <w:rPr>
          <w:rFonts w:eastAsia="Times New Roman" w:cstheme="minorHAnsi"/>
          <w:sz w:val="22"/>
          <w:szCs w:val="22"/>
        </w:rPr>
      </w:pPr>
      <w:r w:rsidRPr="006706EA">
        <w:rPr>
          <w:rFonts w:eastAsiaTheme="minorEastAsia" w:cstheme="minorHAnsi"/>
          <w:b/>
          <w:bCs/>
          <w:color w:val="000000" w:themeColor="text1"/>
          <w:sz w:val="22"/>
          <w:szCs w:val="22"/>
        </w:rPr>
        <w:t xml:space="preserve">Recommended Guidelines: </w:t>
      </w:r>
      <w:r w:rsidRPr="006706EA">
        <w:rPr>
          <w:rFonts w:eastAsiaTheme="minorEastAsia" w:cstheme="minorHAnsi"/>
          <w:b/>
          <w:bCs/>
          <w:color w:val="000000" w:themeColor="text1"/>
          <w:sz w:val="22"/>
          <w:szCs w:val="22"/>
        </w:rPr>
        <w:br/>
      </w:r>
      <w:r w:rsidRPr="006706EA">
        <w:rPr>
          <w:rFonts w:eastAsia="Times New Roman" w:cstheme="minorHAnsi"/>
          <w:color w:val="222222"/>
          <w:sz w:val="20"/>
          <w:szCs w:val="20"/>
          <w:shd w:val="clear" w:color="auto" w:fill="FFFFFF"/>
        </w:rPr>
        <w:t>(NOTE: In some states, the use of telemedicine may be constrained by the aid-in-dying statute, by implementing regulations, or by laws on telehealth generally.</w:t>
      </w:r>
      <w:r>
        <w:rPr>
          <w:rFonts w:eastAsia="Times New Roman" w:cstheme="minorHAnsi"/>
          <w:color w:val="222222"/>
          <w:sz w:val="20"/>
          <w:szCs w:val="20"/>
          <w:shd w:val="clear" w:color="auto" w:fill="FFFFFF"/>
        </w:rPr>
        <w:t xml:space="preserve"> If in doubt, please review your particular state aid-in-dying laws.</w:t>
      </w:r>
      <w:r w:rsidRPr="006706EA">
        <w:rPr>
          <w:rFonts w:eastAsia="Times New Roman" w:cstheme="minorHAnsi"/>
          <w:color w:val="222222"/>
          <w:sz w:val="20"/>
          <w:szCs w:val="20"/>
          <w:shd w:val="clear" w:color="auto" w:fill="FFFFFF"/>
        </w:rPr>
        <w:t>)</w:t>
      </w:r>
    </w:p>
    <w:p w14:paraId="1B64F313" w14:textId="77777777" w:rsidR="006706EA" w:rsidRPr="006706EA" w:rsidRDefault="006706EA" w:rsidP="30FA8686">
      <w:pPr>
        <w:rPr>
          <w:rFonts w:eastAsiaTheme="minorEastAsia" w:cstheme="minorHAnsi"/>
          <w:color w:val="000000" w:themeColor="text1"/>
          <w:sz w:val="22"/>
          <w:szCs w:val="22"/>
        </w:rPr>
      </w:pPr>
    </w:p>
    <w:p w14:paraId="6F650B13" w14:textId="5B6DB927" w:rsidR="002A4BB6" w:rsidRPr="006706EA" w:rsidRDefault="30FA8686" w:rsidP="30FA8686">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 xml:space="preserve">Given the above, as well as the review of other materials and opinions from leading practitioners and organizations, the </w:t>
      </w:r>
      <w:r w:rsidR="00BD3712" w:rsidRPr="006706EA">
        <w:rPr>
          <w:rFonts w:eastAsiaTheme="minorEastAsia" w:cstheme="minorHAnsi"/>
          <w:color w:val="000000" w:themeColor="text1"/>
          <w:sz w:val="22"/>
          <w:szCs w:val="22"/>
        </w:rPr>
        <w:t>Committee</w:t>
      </w:r>
      <w:r w:rsidRPr="006706EA">
        <w:rPr>
          <w:rFonts w:eastAsiaTheme="minorEastAsia" w:cstheme="minorHAnsi"/>
          <w:color w:val="000000" w:themeColor="text1"/>
          <w:sz w:val="22"/>
          <w:szCs w:val="22"/>
        </w:rPr>
        <w:t xml:space="preserve"> recommends the following in respect to telemedicine for aid-in-dying evaluations</w:t>
      </w:r>
      <w:r w:rsidR="00BD3712" w:rsidRPr="006706EA">
        <w:rPr>
          <w:rFonts w:eastAsiaTheme="minorEastAsia" w:cstheme="minorHAnsi"/>
          <w:color w:val="000000" w:themeColor="text1"/>
          <w:sz w:val="22"/>
          <w:szCs w:val="22"/>
        </w:rPr>
        <w:t>,</w:t>
      </w:r>
      <w:r w:rsidRPr="006706EA">
        <w:rPr>
          <w:rFonts w:eastAsiaTheme="minorEastAsia" w:cstheme="minorHAnsi"/>
          <w:color w:val="000000" w:themeColor="text1"/>
          <w:sz w:val="22"/>
          <w:szCs w:val="22"/>
        </w:rPr>
        <w:t xml:space="preserve"> </w:t>
      </w:r>
      <w:r w:rsidR="00BD3712" w:rsidRPr="006706EA">
        <w:rPr>
          <w:rFonts w:eastAsiaTheme="minorEastAsia" w:cstheme="minorHAnsi"/>
          <w:color w:val="000000" w:themeColor="text1"/>
          <w:sz w:val="22"/>
          <w:szCs w:val="22"/>
        </w:rPr>
        <w:t>especially during</w:t>
      </w:r>
      <w:r w:rsidRPr="006706EA">
        <w:rPr>
          <w:rFonts w:eastAsiaTheme="minorEastAsia" w:cstheme="minorHAnsi"/>
          <w:color w:val="000000" w:themeColor="text1"/>
          <w:sz w:val="22"/>
          <w:szCs w:val="22"/>
        </w:rPr>
        <w:t xml:space="preserve"> the coronavirus epidemic:</w:t>
      </w:r>
    </w:p>
    <w:p w14:paraId="55B28A21" w14:textId="5D321800" w:rsidR="002A4BB6" w:rsidRPr="006706EA" w:rsidRDefault="002A4BB6" w:rsidP="30FA8686">
      <w:pPr>
        <w:rPr>
          <w:rFonts w:eastAsiaTheme="minorEastAsia" w:cstheme="minorHAnsi"/>
          <w:color w:val="000000" w:themeColor="text1"/>
          <w:sz w:val="22"/>
          <w:szCs w:val="22"/>
        </w:rPr>
      </w:pPr>
    </w:p>
    <w:p w14:paraId="498847D9" w14:textId="06F9F1F5" w:rsidR="002A4BB6" w:rsidRPr="006706EA" w:rsidRDefault="30FA8686" w:rsidP="30FA8686">
      <w:pPr>
        <w:pStyle w:val="ListParagraph"/>
        <w:numPr>
          <w:ilvl w:val="0"/>
          <w:numId w:val="2"/>
        </w:numPr>
        <w:rPr>
          <w:rFonts w:cstheme="minorHAnsi"/>
          <w:color w:val="000000" w:themeColor="text1"/>
          <w:sz w:val="22"/>
          <w:szCs w:val="22"/>
        </w:rPr>
      </w:pPr>
      <w:r w:rsidRPr="006706EA">
        <w:rPr>
          <w:rFonts w:eastAsiaTheme="minorEastAsia" w:cstheme="minorHAnsi"/>
          <w:b/>
          <w:bCs/>
          <w:color w:val="000000" w:themeColor="text1"/>
          <w:sz w:val="22"/>
          <w:szCs w:val="22"/>
        </w:rPr>
        <w:t xml:space="preserve">First verbal requests </w:t>
      </w:r>
      <w:r w:rsidRPr="006706EA">
        <w:rPr>
          <w:rFonts w:eastAsiaTheme="minorEastAsia" w:cstheme="minorHAnsi"/>
          <w:color w:val="000000" w:themeColor="text1"/>
          <w:sz w:val="22"/>
          <w:szCs w:val="22"/>
        </w:rPr>
        <w:t>to consider medical aid in dying can effectively and legitimately be taken by telemedicine</w:t>
      </w:r>
      <w:r w:rsidR="00DD7BBB" w:rsidRPr="006706EA">
        <w:rPr>
          <w:rFonts w:eastAsiaTheme="minorEastAsia" w:cstheme="minorHAnsi"/>
          <w:color w:val="000000" w:themeColor="text1"/>
          <w:sz w:val="22"/>
          <w:szCs w:val="22"/>
        </w:rPr>
        <w:t xml:space="preserve"> if they:</w:t>
      </w:r>
      <w:r w:rsidRPr="006706EA">
        <w:rPr>
          <w:rFonts w:eastAsiaTheme="minorEastAsia" w:cstheme="minorHAnsi"/>
          <w:color w:val="000000" w:themeColor="text1"/>
          <w:sz w:val="22"/>
          <w:szCs w:val="22"/>
        </w:rPr>
        <w:t xml:space="preserve"> </w:t>
      </w:r>
    </w:p>
    <w:p w14:paraId="7FA542E3" w14:textId="4944D8E7" w:rsidR="00DD7BBB" w:rsidRPr="006706EA" w:rsidRDefault="00DD7BBB" w:rsidP="30FA8686">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 xml:space="preserve">Establish patient </w:t>
      </w:r>
      <w:proofErr w:type="gramStart"/>
      <w:r w:rsidRPr="006706EA">
        <w:rPr>
          <w:rFonts w:eastAsiaTheme="minorEastAsia" w:cstheme="minorHAnsi"/>
          <w:color w:val="000000" w:themeColor="text1"/>
          <w:sz w:val="22"/>
          <w:szCs w:val="22"/>
        </w:rPr>
        <w:t>identification, and</w:t>
      </w:r>
      <w:proofErr w:type="gramEnd"/>
      <w:r w:rsidRPr="006706EA">
        <w:rPr>
          <w:rFonts w:eastAsiaTheme="minorEastAsia" w:cstheme="minorHAnsi"/>
          <w:color w:val="000000" w:themeColor="text1"/>
          <w:sz w:val="22"/>
          <w:szCs w:val="22"/>
        </w:rPr>
        <w:t xml:space="preserve"> document the encounter in the medical record. </w:t>
      </w:r>
    </w:p>
    <w:p w14:paraId="4968CD30" w14:textId="252209EA" w:rsidR="00DD7BBB" w:rsidRPr="006706EA" w:rsidRDefault="00DD7BBB" w:rsidP="00DD7BBB">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Perform a concise history of present symptoms and treatments from the patient, including palliative care modalities in effect.</w:t>
      </w:r>
      <w:r w:rsidR="00A3047F">
        <w:rPr>
          <w:rFonts w:eastAsiaTheme="minorEastAsia" w:cstheme="minorHAnsi"/>
          <w:color w:val="000000" w:themeColor="text1"/>
          <w:sz w:val="22"/>
          <w:szCs w:val="22"/>
        </w:rPr>
        <w:t xml:space="preserve"> </w:t>
      </w:r>
    </w:p>
    <w:p w14:paraId="1E10A0A2" w14:textId="368AB8D7" w:rsidR="002A4BB6" w:rsidRPr="006706EA" w:rsidRDefault="00DD7BBB" w:rsidP="30FA8686">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Note</w:t>
      </w:r>
      <w:r w:rsidR="30FA8686" w:rsidRPr="006706EA">
        <w:rPr>
          <w:rFonts w:eastAsiaTheme="minorEastAsia" w:cstheme="minorHAnsi"/>
          <w:color w:val="000000" w:themeColor="text1"/>
          <w:sz w:val="22"/>
          <w:szCs w:val="22"/>
        </w:rPr>
        <w:t xml:space="preserve"> the components of a physical examination that are possible via telehealth: Observation of affect and mental clarity; observation of position and mobility; observation of respiratory rate and discomfort; limited observation for jaundice, cyanosis, pallor, rashes. </w:t>
      </w:r>
      <w:r w:rsidR="00A3047F" w:rsidRPr="00A3047F">
        <w:rPr>
          <w:rFonts w:eastAsiaTheme="minorEastAsia" w:cstheme="minorHAnsi"/>
          <w:color w:val="000000" w:themeColor="text1"/>
          <w:sz w:val="18"/>
          <w:szCs w:val="18"/>
        </w:rPr>
        <w:t>(Note: Some state aid-in-dying laws do not require a physical examination before taking a first verbal request.)</w:t>
      </w:r>
    </w:p>
    <w:p w14:paraId="75185855" w14:textId="15EC731A" w:rsidR="00DD7BBB" w:rsidRPr="006706EA" w:rsidRDefault="00DD7BBB" w:rsidP="00DD7BBB">
      <w:pPr>
        <w:pStyle w:val="ListParagraph"/>
        <w:numPr>
          <w:ilvl w:val="2"/>
          <w:numId w:val="2"/>
        </w:numPr>
        <w:rPr>
          <w:rFonts w:cstheme="minorHAnsi"/>
          <w:color w:val="000000" w:themeColor="text1"/>
          <w:sz w:val="22"/>
          <w:szCs w:val="22"/>
        </w:rPr>
      </w:pPr>
      <w:r w:rsidRPr="006706EA">
        <w:rPr>
          <w:rFonts w:eastAsiaTheme="minorEastAsia" w:cstheme="minorHAnsi"/>
          <w:color w:val="000000" w:themeColor="text1"/>
          <w:sz w:val="22"/>
          <w:szCs w:val="22"/>
        </w:rPr>
        <w:t xml:space="preserve">This exam can be supplemented by chart notes of other practitioners who have directly examined the patient, including hospice physicians and nurses, primary care providers, specialist providers. </w:t>
      </w:r>
    </w:p>
    <w:p w14:paraId="09B8A916" w14:textId="0951DE79" w:rsidR="002A4BB6" w:rsidRPr="006706EA" w:rsidRDefault="00DD7BBB" w:rsidP="30FA8686">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Chart documentation should reflect that t</w:t>
      </w:r>
      <w:r w:rsidR="30FA8686" w:rsidRPr="006706EA">
        <w:rPr>
          <w:rFonts w:eastAsiaTheme="minorEastAsia" w:cstheme="minorHAnsi"/>
          <w:color w:val="000000" w:themeColor="text1"/>
          <w:sz w:val="22"/>
          <w:szCs w:val="22"/>
        </w:rPr>
        <w:t xml:space="preserve">his first verbal request is to be augmented during the subsequent waiting period by review of the patient’s relevant medical records. </w:t>
      </w:r>
    </w:p>
    <w:p w14:paraId="6F55A4FF" w14:textId="5C09787E" w:rsidR="002A4BB6" w:rsidRPr="006706EA" w:rsidRDefault="00DD7BBB" w:rsidP="00DD7BBB">
      <w:pPr>
        <w:ind w:left="1080"/>
        <w:rPr>
          <w:rFonts w:cstheme="minorHAnsi"/>
          <w:color w:val="000000" w:themeColor="text1"/>
          <w:sz w:val="22"/>
          <w:szCs w:val="22"/>
        </w:rPr>
      </w:pPr>
      <w:r w:rsidRPr="006706EA">
        <w:rPr>
          <w:rFonts w:eastAsiaTheme="minorEastAsia" w:cstheme="minorHAnsi"/>
          <w:color w:val="000000" w:themeColor="text1"/>
          <w:sz w:val="22"/>
          <w:szCs w:val="22"/>
        </w:rPr>
        <w:br/>
      </w:r>
      <w:r w:rsidR="30FA8686" w:rsidRPr="006706EA">
        <w:rPr>
          <w:rFonts w:eastAsiaTheme="minorEastAsia" w:cstheme="minorHAnsi"/>
          <w:color w:val="000000" w:themeColor="text1"/>
          <w:sz w:val="22"/>
          <w:szCs w:val="22"/>
        </w:rPr>
        <w:t xml:space="preserve">The combined methods above are sufficient to verify diagnosis, prognosis, and decision-making capacity, and to legally establish the patient’s first verbal request and the start of the waiting period. </w:t>
      </w:r>
      <w:r w:rsidRPr="006706EA">
        <w:rPr>
          <w:rFonts w:eastAsiaTheme="minorEastAsia" w:cstheme="minorHAnsi"/>
          <w:color w:val="000000" w:themeColor="text1"/>
          <w:sz w:val="22"/>
          <w:szCs w:val="22"/>
        </w:rPr>
        <w:br/>
      </w:r>
    </w:p>
    <w:p w14:paraId="667F7A6C" w14:textId="24D07212" w:rsidR="002A4BB6" w:rsidRPr="006706EA" w:rsidRDefault="30FA8686" w:rsidP="30FA8686">
      <w:pPr>
        <w:pStyle w:val="ListParagraph"/>
        <w:numPr>
          <w:ilvl w:val="0"/>
          <w:numId w:val="2"/>
        </w:numPr>
        <w:rPr>
          <w:rFonts w:cstheme="minorHAnsi"/>
          <w:color w:val="000000" w:themeColor="text1"/>
          <w:sz w:val="22"/>
          <w:szCs w:val="22"/>
        </w:rPr>
      </w:pPr>
      <w:r w:rsidRPr="006706EA">
        <w:rPr>
          <w:rFonts w:eastAsiaTheme="minorEastAsia" w:cstheme="minorHAnsi"/>
          <w:b/>
          <w:bCs/>
          <w:color w:val="000000" w:themeColor="text1"/>
          <w:sz w:val="22"/>
          <w:szCs w:val="22"/>
        </w:rPr>
        <w:t xml:space="preserve">Second verbal requests </w:t>
      </w:r>
      <w:r w:rsidRPr="006706EA">
        <w:rPr>
          <w:rFonts w:eastAsiaTheme="minorEastAsia" w:cstheme="minorHAnsi"/>
          <w:color w:val="000000" w:themeColor="text1"/>
          <w:sz w:val="22"/>
          <w:szCs w:val="22"/>
        </w:rPr>
        <w:t xml:space="preserve">to consider medical aid in dying can effectively and legitimately be taken by telemedicine, and/or (at the practitioner's judgment and discretion) by telephone without visual contact.  </w:t>
      </w:r>
      <w:r w:rsidR="00DD7BBB" w:rsidRPr="006706EA">
        <w:rPr>
          <w:rFonts w:eastAsiaTheme="minorEastAsia" w:cstheme="minorHAnsi"/>
          <w:color w:val="000000" w:themeColor="text1"/>
          <w:sz w:val="22"/>
          <w:szCs w:val="22"/>
        </w:rPr>
        <w:br/>
      </w:r>
    </w:p>
    <w:p w14:paraId="2E85B7AF" w14:textId="02E1DAD0" w:rsidR="002A4BB6" w:rsidRPr="006706EA" w:rsidRDefault="30FA8686" w:rsidP="30FA8686">
      <w:pPr>
        <w:pStyle w:val="ListParagraph"/>
        <w:numPr>
          <w:ilvl w:val="0"/>
          <w:numId w:val="2"/>
        </w:numPr>
        <w:rPr>
          <w:rFonts w:cstheme="minorHAnsi"/>
          <w:color w:val="000000" w:themeColor="text1"/>
          <w:sz w:val="22"/>
          <w:szCs w:val="22"/>
        </w:rPr>
      </w:pPr>
      <w:r w:rsidRPr="006706EA">
        <w:rPr>
          <w:rFonts w:eastAsiaTheme="minorEastAsia" w:cstheme="minorHAnsi"/>
          <w:b/>
          <w:bCs/>
          <w:color w:val="000000" w:themeColor="text1"/>
          <w:sz w:val="22"/>
          <w:szCs w:val="22"/>
        </w:rPr>
        <w:t>Physical examinations</w:t>
      </w:r>
      <w:r w:rsidRPr="006706EA">
        <w:rPr>
          <w:rFonts w:eastAsiaTheme="minorEastAsia" w:cstheme="minorHAnsi"/>
          <w:color w:val="000000" w:themeColor="text1"/>
          <w:sz w:val="22"/>
          <w:szCs w:val="22"/>
        </w:rPr>
        <w:t xml:space="preserve">: When possible, physical examinations </w:t>
      </w:r>
      <w:r w:rsidR="00DD7BBB" w:rsidRPr="006706EA">
        <w:rPr>
          <w:rFonts w:eastAsiaTheme="minorEastAsia" w:cstheme="minorHAnsi"/>
          <w:color w:val="000000" w:themeColor="text1"/>
          <w:sz w:val="22"/>
          <w:szCs w:val="22"/>
        </w:rPr>
        <w:t>are best</w:t>
      </w:r>
      <w:r w:rsidRPr="006706EA">
        <w:rPr>
          <w:rFonts w:eastAsiaTheme="minorEastAsia" w:cstheme="minorHAnsi"/>
          <w:color w:val="000000" w:themeColor="text1"/>
          <w:sz w:val="22"/>
          <w:szCs w:val="22"/>
        </w:rPr>
        <w:t xml:space="preserve"> performed in person. However, at the practitioner’s judgment and discretion, a telemedicine physical exam that includes the components noted above can be performed and is adequate if it establishes or confirms the diagnosis, prognosis and decision-making capacity of the patient. </w:t>
      </w:r>
    </w:p>
    <w:p w14:paraId="300C95A6" w14:textId="1BC183EB" w:rsidR="002A4BB6" w:rsidRPr="006706EA" w:rsidRDefault="30FA8686" w:rsidP="30FA8686">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 xml:space="preserve">When possible, the aid-in-dying clinician should </w:t>
      </w:r>
      <w:r w:rsidR="00DD7BBB" w:rsidRPr="006706EA">
        <w:rPr>
          <w:rFonts w:eastAsiaTheme="minorEastAsia" w:cstheme="minorHAnsi"/>
          <w:color w:val="000000" w:themeColor="text1"/>
          <w:sz w:val="22"/>
          <w:szCs w:val="22"/>
        </w:rPr>
        <w:t>include</w:t>
      </w:r>
      <w:r w:rsidRPr="006706EA">
        <w:rPr>
          <w:rFonts w:eastAsiaTheme="minorEastAsia" w:cstheme="minorHAnsi"/>
          <w:color w:val="000000" w:themeColor="text1"/>
          <w:sz w:val="22"/>
          <w:szCs w:val="22"/>
        </w:rPr>
        <w:t xml:space="preserve"> the exams of other clinicians who have recently seen the patient to confirm and/or augment their telemedicine findings. This especially applies to examinations by hospice staff who are visiting the patient in person. The </w:t>
      </w:r>
      <w:r w:rsidR="00DD7BBB" w:rsidRPr="006706EA">
        <w:rPr>
          <w:rFonts w:eastAsiaTheme="minorEastAsia" w:cstheme="minorHAnsi"/>
          <w:color w:val="000000" w:themeColor="text1"/>
          <w:sz w:val="22"/>
          <w:szCs w:val="22"/>
        </w:rPr>
        <w:t>Committee</w:t>
      </w:r>
      <w:r w:rsidRPr="006706EA">
        <w:rPr>
          <w:rFonts w:eastAsiaTheme="minorEastAsia" w:cstheme="minorHAnsi"/>
          <w:color w:val="000000" w:themeColor="text1"/>
          <w:sz w:val="22"/>
          <w:szCs w:val="22"/>
        </w:rPr>
        <w:t xml:space="preserve"> recommends that close communication be maintained between on-scene hospice staff and the aid-in-dying clinician.  </w:t>
      </w:r>
    </w:p>
    <w:p w14:paraId="69EE7F72" w14:textId="77777777" w:rsidR="00DD7BBB" w:rsidRPr="006706EA" w:rsidRDefault="00DD7BBB" w:rsidP="003B13A9">
      <w:pPr>
        <w:pStyle w:val="ListParagraph"/>
        <w:ind w:left="1440"/>
        <w:rPr>
          <w:rFonts w:cstheme="minorHAnsi"/>
          <w:color w:val="000000" w:themeColor="text1"/>
          <w:sz w:val="22"/>
          <w:szCs w:val="22"/>
        </w:rPr>
      </w:pPr>
    </w:p>
    <w:p w14:paraId="41931182" w14:textId="2C3D3D81" w:rsidR="002A4BB6" w:rsidRPr="006706EA" w:rsidRDefault="30FA8686" w:rsidP="30FA8686">
      <w:pPr>
        <w:pStyle w:val="ListParagraph"/>
        <w:numPr>
          <w:ilvl w:val="0"/>
          <w:numId w:val="2"/>
        </w:numPr>
        <w:rPr>
          <w:rFonts w:cstheme="minorHAnsi"/>
          <w:color w:val="000000" w:themeColor="text1"/>
          <w:sz w:val="22"/>
          <w:szCs w:val="22"/>
        </w:rPr>
      </w:pPr>
      <w:r w:rsidRPr="006706EA">
        <w:rPr>
          <w:rFonts w:eastAsiaTheme="minorEastAsia" w:cstheme="minorHAnsi"/>
          <w:b/>
          <w:bCs/>
          <w:color w:val="000000" w:themeColor="text1"/>
          <w:sz w:val="22"/>
          <w:szCs w:val="22"/>
        </w:rPr>
        <w:lastRenderedPageBreak/>
        <w:t>Attending the patient on the aid-in-dying date</w:t>
      </w:r>
      <w:r w:rsidRPr="006706EA">
        <w:rPr>
          <w:rFonts w:eastAsiaTheme="minorEastAsia" w:cstheme="minorHAnsi"/>
          <w:color w:val="000000" w:themeColor="text1"/>
          <w:sz w:val="22"/>
          <w:szCs w:val="22"/>
        </w:rPr>
        <w:t xml:space="preserve">: </w:t>
      </w:r>
      <w:r w:rsidR="003B13A9" w:rsidRPr="006706EA">
        <w:rPr>
          <w:rFonts w:eastAsiaTheme="minorEastAsia" w:cstheme="minorHAnsi"/>
          <w:color w:val="000000" w:themeColor="text1"/>
          <w:sz w:val="22"/>
          <w:szCs w:val="22"/>
        </w:rPr>
        <w:t xml:space="preserve">It is very helpful to </w:t>
      </w:r>
      <w:r w:rsidRPr="006706EA">
        <w:rPr>
          <w:rFonts w:eastAsiaTheme="minorEastAsia" w:cstheme="minorHAnsi"/>
          <w:color w:val="000000" w:themeColor="text1"/>
          <w:sz w:val="22"/>
          <w:szCs w:val="22"/>
        </w:rPr>
        <w:t>offer the patient and family the physical, telemedicine or telephone presence of a clinician (physician, hospice RN/LVN, hospice SW, or trained aid-in-dying volunteer)</w:t>
      </w:r>
      <w:r w:rsidR="00DD7BBB" w:rsidRPr="006706EA">
        <w:rPr>
          <w:rFonts w:eastAsiaTheme="minorEastAsia" w:cstheme="minorHAnsi"/>
          <w:color w:val="000000" w:themeColor="text1"/>
          <w:sz w:val="22"/>
          <w:szCs w:val="22"/>
        </w:rPr>
        <w:t xml:space="preserve"> on the day of death</w:t>
      </w:r>
      <w:r w:rsidRPr="006706EA">
        <w:rPr>
          <w:rFonts w:eastAsiaTheme="minorEastAsia" w:cstheme="minorHAnsi"/>
          <w:color w:val="000000" w:themeColor="text1"/>
          <w:sz w:val="22"/>
          <w:szCs w:val="22"/>
        </w:rPr>
        <w:t xml:space="preserve">. This will decrease the anxiety of patients and family members, improve the quality of the procedure and decrease risks, and allow the family to be more fully present emotionally with the patient on the day of their death. </w:t>
      </w:r>
    </w:p>
    <w:p w14:paraId="318C0D2A" w14:textId="2432FF98" w:rsidR="002A4BB6" w:rsidRPr="006706EA" w:rsidRDefault="30FA8686" w:rsidP="30FA8686">
      <w:pPr>
        <w:pStyle w:val="ListParagraph"/>
        <w:numPr>
          <w:ilvl w:val="1"/>
          <w:numId w:val="2"/>
        </w:numPr>
        <w:rPr>
          <w:rFonts w:cstheme="minorHAnsi"/>
          <w:color w:val="000000" w:themeColor="text1"/>
          <w:sz w:val="22"/>
          <w:szCs w:val="22"/>
        </w:rPr>
      </w:pPr>
      <w:r w:rsidRPr="006706EA">
        <w:rPr>
          <w:rFonts w:eastAsiaTheme="minorEastAsia" w:cstheme="minorHAnsi"/>
          <w:color w:val="000000" w:themeColor="text1"/>
          <w:sz w:val="22"/>
          <w:szCs w:val="22"/>
        </w:rPr>
        <w:t xml:space="preserve">During coronavirus times, telemedicine with the patient and family on the aid-in-dying date is highly recommended rather than a physical presence. This decision is at the discretion of each practitioner. </w:t>
      </w:r>
    </w:p>
    <w:p w14:paraId="6B4252E1" w14:textId="04741927" w:rsidR="30FA8686" w:rsidRPr="006706EA" w:rsidRDefault="30FA8686" w:rsidP="30FA8686">
      <w:pPr>
        <w:ind w:left="1080"/>
        <w:rPr>
          <w:rFonts w:eastAsiaTheme="minorEastAsia" w:cstheme="minorHAnsi"/>
          <w:color w:val="000000" w:themeColor="text1"/>
          <w:sz w:val="22"/>
          <w:szCs w:val="22"/>
        </w:rPr>
      </w:pPr>
    </w:p>
    <w:p w14:paraId="3CCA1AEA" w14:textId="09379B98" w:rsidR="002A4BB6" w:rsidRPr="006706EA" w:rsidRDefault="002A4BB6" w:rsidP="30FA8686">
      <w:pPr>
        <w:rPr>
          <w:rFonts w:eastAsiaTheme="minorEastAsia" w:cstheme="minorHAnsi"/>
          <w:b/>
          <w:bCs/>
          <w:color w:val="000000" w:themeColor="text1"/>
          <w:sz w:val="22"/>
          <w:szCs w:val="22"/>
        </w:rPr>
      </w:pPr>
      <w:r w:rsidRPr="006706EA">
        <w:rPr>
          <w:rFonts w:eastAsiaTheme="minorEastAsia" w:cstheme="minorHAnsi"/>
          <w:b/>
          <w:bCs/>
          <w:color w:val="000000"/>
          <w:sz w:val="22"/>
          <w:szCs w:val="22"/>
          <w:bdr w:val="none" w:sz="0" w:space="0" w:color="auto" w:frame="1"/>
        </w:rPr>
        <w:t xml:space="preserve">The </w:t>
      </w:r>
      <w:r w:rsidR="003B13A9" w:rsidRPr="006706EA">
        <w:rPr>
          <w:rFonts w:eastAsiaTheme="minorEastAsia" w:cstheme="minorHAnsi"/>
          <w:b/>
          <w:bCs/>
          <w:color w:val="000000"/>
          <w:sz w:val="22"/>
          <w:szCs w:val="22"/>
          <w:bdr w:val="none" w:sz="0" w:space="0" w:color="auto" w:frame="1"/>
        </w:rPr>
        <w:t>Committee</w:t>
      </w:r>
      <w:r w:rsidRPr="006706EA">
        <w:rPr>
          <w:rFonts w:eastAsiaTheme="minorEastAsia" w:cstheme="minorHAnsi"/>
          <w:b/>
          <w:bCs/>
          <w:color w:val="000000"/>
          <w:sz w:val="22"/>
          <w:szCs w:val="22"/>
          <w:bdr w:val="none" w:sz="0" w:space="0" w:color="auto" w:frame="1"/>
        </w:rPr>
        <w:t xml:space="preserve"> concludes that there is nothing inherent in an aid-in-dying request that prohibits or discourages the use of telemedicine. In fact, in present circumstances of potential contagion, increased use of telemedicine is encouraged. </w:t>
      </w:r>
    </w:p>
    <w:p w14:paraId="5FAAEE0F" w14:textId="3BF1DC64" w:rsidR="3015A886" w:rsidRPr="006706EA" w:rsidRDefault="3015A886" w:rsidP="3015A886">
      <w:pPr>
        <w:rPr>
          <w:rFonts w:eastAsiaTheme="minorEastAsia" w:cstheme="minorHAnsi"/>
          <w:b/>
          <w:bCs/>
          <w:color w:val="000000" w:themeColor="text1"/>
          <w:sz w:val="22"/>
          <w:szCs w:val="22"/>
        </w:rPr>
      </w:pPr>
    </w:p>
    <w:p w14:paraId="3433827D" w14:textId="45350562" w:rsidR="3015A886" w:rsidRDefault="3015A886" w:rsidP="3015A886">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 xml:space="preserve">For technical details on initiating and/or maintaining Telemedicine in your practice: </w:t>
      </w:r>
      <w:r w:rsidRPr="006706EA">
        <w:rPr>
          <w:rFonts w:cstheme="minorHAnsi"/>
          <w:sz w:val="22"/>
          <w:szCs w:val="22"/>
        </w:rPr>
        <w:br/>
      </w:r>
      <w:bookmarkStart w:id="0" w:name="_GoBack"/>
      <w:r w:rsidR="00EE2342">
        <w:fldChar w:fldCharType="begin"/>
      </w:r>
      <w:r w:rsidR="00EE2342">
        <w:instrText xml:space="preserve"> HYPERLINK "https://tinyurl.com/MedscapeTelemedicine" \h </w:instrText>
      </w:r>
      <w:r w:rsidR="00EE2342">
        <w:fldChar w:fldCharType="separate"/>
      </w:r>
      <w:r w:rsidRPr="006706EA">
        <w:rPr>
          <w:rStyle w:val="Hyperlink"/>
          <w:rFonts w:eastAsiaTheme="minorEastAsia" w:cstheme="minorHAnsi"/>
          <w:color w:val="000000" w:themeColor="text1"/>
          <w:sz w:val="22"/>
          <w:szCs w:val="22"/>
        </w:rPr>
        <w:t>https://tinyurl.com/MedscapeTelemedicine</w:t>
      </w:r>
      <w:r w:rsidR="00EE2342">
        <w:rPr>
          <w:rStyle w:val="Hyperlink"/>
          <w:rFonts w:eastAsiaTheme="minorEastAsia" w:cstheme="minorHAnsi"/>
          <w:color w:val="000000" w:themeColor="text1"/>
          <w:sz w:val="22"/>
          <w:szCs w:val="22"/>
        </w:rPr>
        <w:fldChar w:fldCharType="end"/>
      </w:r>
      <w:r w:rsidRPr="006706EA">
        <w:rPr>
          <w:rFonts w:eastAsiaTheme="minorEastAsia" w:cstheme="minorHAnsi"/>
          <w:color w:val="000000" w:themeColor="text1"/>
          <w:sz w:val="22"/>
          <w:szCs w:val="22"/>
        </w:rPr>
        <w:t xml:space="preserve"> </w:t>
      </w:r>
      <w:bookmarkEnd w:id="0"/>
    </w:p>
    <w:p w14:paraId="1E1C6216" w14:textId="41EBA588" w:rsidR="00EE2342" w:rsidRDefault="00EE2342" w:rsidP="3015A886">
      <w:pPr>
        <w:rPr>
          <w:rFonts w:eastAsiaTheme="minorEastAsia" w:cstheme="minorHAnsi"/>
          <w:color w:val="000000" w:themeColor="text1"/>
          <w:sz w:val="22"/>
          <w:szCs w:val="22"/>
        </w:rPr>
      </w:pPr>
    </w:p>
    <w:p w14:paraId="38AB1CD0" w14:textId="77777777" w:rsidR="00EE2342" w:rsidRDefault="00EE2342" w:rsidP="00EE2342">
      <w:r>
        <w:rPr>
          <w:rFonts w:ascii="Noto Serif" w:hAnsi="Noto Serif"/>
          <w:color w:val="191E23"/>
          <w:shd w:val="clear" w:color="auto" w:fill="FFFFFF"/>
        </w:rPr>
        <w:t xml:space="preserve">4/3/20 An update to California's Telemedicine Law during the coronavirus epidemic: </w:t>
      </w:r>
      <w:hyperlink r:id="rId7" w:history="1">
        <w:r>
          <w:rPr>
            <w:rStyle w:val="Hyperlink"/>
            <w:rFonts w:ascii="Noto Serif" w:hAnsi="Noto Serif"/>
            <w:color w:val="007FAC"/>
            <w:shd w:val="clear" w:color="auto" w:fill="FFFFFF"/>
          </w:rPr>
          <w:t>https://</w:t>
        </w:r>
        <w:r>
          <w:rPr>
            <w:rStyle w:val="Hyperlink"/>
            <w:rFonts w:ascii="Noto Serif" w:hAnsi="Noto Serif"/>
            <w:color w:val="007FAC"/>
            <w:shd w:val="clear" w:color="auto" w:fill="FFFFFF"/>
          </w:rPr>
          <w:t>w</w:t>
        </w:r>
        <w:r>
          <w:rPr>
            <w:rStyle w:val="Hyperlink"/>
            <w:rFonts w:ascii="Noto Serif" w:hAnsi="Noto Serif"/>
            <w:color w:val="007FAC"/>
            <w:shd w:val="clear" w:color="auto" w:fill="FFFFFF"/>
          </w:rPr>
          <w:t xml:space="preserve">ww.gov.ca.gov/wp-content/uploads/2020/04/4.3.20-EO-N-43-20.pdf </w:t>
        </w:r>
      </w:hyperlink>
    </w:p>
    <w:p w14:paraId="083A2D73" w14:textId="77777777" w:rsidR="00EE2342" w:rsidRPr="006706EA" w:rsidRDefault="00EE2342" w:rsidP="3015A886">
      <w:pPr>
        <w:rPr>
          <w:rFonts w:eastAsiaTheme="minorEastAsia" w:cstheme="minorHAnsi"/>
          <w:color w:val="000000" w:themeColor="text1"/>
          <w:sz w:val="22"/>
          <w:szCs w:val="22"/>
        </w:rPr>
      </w:pPr>
    </w:p>
    <w:p w14:paraId="33C42973" w14:textId="042E4867" w:rsidR="30FA8686" w:rsidRPr="006706EA" w:rsidRDefault="30FA8686" w:rsidP="30FA8686">
      <w:pPr>
        <w:rPr>
          <w:rFonts w:eastAsiaTheme="minorEastAsia" w:cstheme="minorHAnsi"/>
          <w:color w:val="000000" w:themeColor="text1"/>
          <w:sz w:val="22"/>
          <w:szCs w:val="22"/>
        </w:rPr>
      </w:pPr>
    </w:p>
    <w:p w14:paraId="5E6BD66B" w14:textId="1E7C89BC" w:rsidR="30FA8686" w:rsidRPr="006706EA" w:rsidRDefault="30FA8686" w:rsidP="30FA8686">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 xml:space="preserve">Respectfully submitted by the Committee to Evaluate Telemedicine for Aid-in-Dying Requests in the Context of the Coronavirus Epidemic. </w:t>
      </w:r>
    </w:p>
    <w:p w14:paraId="42E2DCEC" w14:textId="77777777" w:rsidR="000451B6" w:rsidRPr="006706EA" w:rsidRDefault="000451B6" w:rsidP="30FA8686">
      <w:pPr>
        <w:rPr>
          <w:rFonts w:eastAsiaTheme="minorEastAsia" w:cstheme="minorHAnsi"/>
          <w:sz w:val="22"/>
          <w:szCs w:val="22"/>
        </w:rPr>
      </w:pPr>
    </w:p>
    <w:p w14:paraId="051B978F" w14:textId="77777777" w:rsidR="30FA8686" w:rsidRPr="006706EA" w:rsidRDefault="30FA8686" w:rsidP="30FA8686">
      <w:pPr>
        <w:rPr>
          <w:rFonts w:eastAsiaTheme="minorEastAsia" w:cstheme="minorHAnsi"/>
          <w:sz w:val="22"/>
          <w:szCs w:val="22"/>
        </w:rPr>
      </w:pPr>
      <w:r w:rsidRPr="006706EA">
        <w:rPr>
          <w:rFonts w:eastAsiaTheme="minorEastAsia" w:cstheme="minorHAnsi"/>
          <w:b/>
          <w:bCs/>
          <w:color w:val="000000" w:themeColor="text1"/>
          <w:sz w:val="22"/>
          <w:szCs w:val="22"/>
        </w:rPr>
        <w:t>Carrol Parrot, MD</w:t>
      </w:r>
    </w:p>
    <w:p w14:paraId="11EE9228" w14:textId="77777777" w:rsidR="30FA8686" w:rsidRPr="006706EA" w:rsidRDefault="30FA8686" w:rsidP="30FA8686">
      <w:pPr>
        <w:rPr>
          <w:rFonts w:eastAsiaTheme="minorEastAsia" w:cstheme="minorHAnsi"/>
          <w:sz w:val="22"/>
          <w:szCs w:val="22"/>
        </w:rPr>
      </w:pPr>
      <w:r w:rsidRPr="006706EA">
        <w:rPr>
          <w:rFonts w:eastAsiaTheme="minorEastAsia" w:cstheme="minorHAnsi"/>
          <w:color w:val="000000" w:themeColor="text1"/>
          <w:sz w:val="22"/>
          <w:szCs w:val="22"/>
        </w:rPr>
        <w:t>Clinical Consultant for End of Life Washington</w:t>
      </w:r>
    </w:p>
    <w:p w14:paraId="505E1B71" w14:textId="77777777" w:rsidR="30FA8686" w:rsidRPr="006706EA" w:rsidRDefault="30FA8686" w:rsidP="30FA8686">
      <w:pPr>
        <w:rPr>
          <w:rFonts w:eastAsiaTheme="minorEastAsia" w:cstheme="minorHAnsi"/>
          <w:sz w:val="22"/>
          <w:szCs w:val="22"/>
        </w:rPr>
      </w:pPr>
      <w:r w:rsidRPr="006706EA">
        <w:rPr>
          <w:rFonts w:eastAsiaTheme="minorEastAsia" w:cstheme="minorHAnsi"/>
          <w:b/>
          <w:bCs/>
          <w:color w:val="000000" w:themeColor="text1"/>
          <w:sz w:val="22"/>
          <w:szCs w:val="22"/>
        </w:rPr>
        <w:t xml:space="preserve">Jessica </w:t>
      </w:r>
      <w:proofErr w:type="spellStart"/>
      <w:r w:rsidRPr="006706EA">
        <w:rPr>
          <w:rFonts w:eastAsiaTheme="minorEastAsia" w:cstheme="minorHAnsi"/>
          <w:b/>
          <w:bCs/>
          <w:color w:val="000000" w:themeColor="text1"/>
          <w:sz w:val="22"/>
          <w:szCs w:val="22"/>
        </w:rPr>
        <w:t>Safra</w:t>
      </w:r>
      <w:proofErr w:type="spellEnd"/>
      <w:r w:rsidRPr="006706EA">
        <w:rPr>
          <w:rFonts w:eastAsiaTheme="minorEastAsia" w:cstheme="minorHAnsi"/>
          <w:b/>
          <w:bCs/>
          <w:color w:val="000000" w:themeColor="text1"/>
          <w:sz w:val="22"/>
          <w:szCs w:val="22"/>
        </w:rPr>
        <w:t>, MD</w:t>
      </w:r>
    </w:p>
    <w:p w14:paraId="4D63670D" w14:textId="77777777" w:rsidR="30FA8686" w:rsidRPr="006706EA" w:rsidRDefault="3015A886" w:rsidP="30FA8686">
      <w:pPr>
        <w:rPr>
          <w:rFonts w:eastAsiaTheme="minorEastAsia" w:cstheme="minorHAnsi"/>
          <w:sz w:val="22"/>
          <w:szCs w:val="22"/>
        </w:rPr>
      </w:pPr>
      <w:r w:rsidRPr="006706EA">
        <w:rPr>
          <w:rFonts w:eastAsiaTheme="minorEastAsia" w:cstheme="minorHAnsi"/>
          <w:color w:val="000000" w:themeColor="text1"/>
          <w:sz w:val="22"/>
          <w:szCs w:val="22"/>
        </w:rPr>
        <w:t>Hospice Physician and Consultant Physician for the End of Life Option Act.  Hospice by the Bay, San Francisco</w:t>
      </w:r>
    </w:p>
    <w:p w14:paraId="064A142D" w14:textId="6C4D74CC" w:rsidR="30FA8686" w:rsidRPr="006706EA" w:rsidRDefault="3015A886" w:rsidP="3015A886">
      <w:pPr>
        <w:rPr>
          <w:rFonts w:eastAsiaTheme="minorEastAsia" w:cstheme="minorHAnsi"/>
          <w:color w:val="000000" w:themeColor="text1"/>
          <w:sz w:val="22"/>
          <w:szCs w:val="22"/>
        </w:rPr>
      </w:pPr>
      <w:r w:rsidRPr="006706EA">
        <w:rPr>
          <w:rFonts w:eastAsiaTheme="minorEastAsia" w:cstheme="minorHAnsi"/>
          <w:b/>
          <w:bCs/>
          <w:color w:val="000000" w:themeColor="text1"/>
          <w:sz w:val="22"/>
          <w:szCs w:val="22"/>
        </w:rPr>
        <w:t xml:space="preserve">Diana Barnard, MD </w:t>
      </w:r>
    </w:p>
    <w:p w14:paraId="3A39293E" w14:textId="1DE57327" w:rsidR="30FA8686" w:rsidRPr="006706EA" w:rsidRDefault="30FA8686" w:rsidP="30FA8686">
      <w:pPr>
        <w:rPr>
          <w:rFonts w:eastAsiaTheme="minorEastAsia" w:cstheme="minorHAnsi"/>
          <w:color w:val="000000" w:themeColor="text1"/>
          <w:sz w:val="22"/>
          <w:szCs w:val="22"/>
        </w:rPr>
      </w:pPr>
      <w:r w:rsidRPr="006706EA">
        <w:rPr>
          <w:rFonts w:eastAsiaTheme="minorEastAsia" w:cstheme="minorHAnsi"/>
          <w:color w:val="000000" w:themeColor="text1"/>
          <w:sz w:val="22"/>
          <w:szCs w:val="22"/>
        </w:rPr>
        <w:t>Assistant Professor, Family Medicine,</w:t>
      </w:r>
      <w:r w:rsidRPr="006706EA">
        <w:rPr>
          <w:rFonts w:cstheme="minorHAnsi"/>
          <w:sz w:val="22"/>
          <w:szCs w:val="22"/>
        </w:rPr>
        <w:br/>
      </w:r>
      <w:r w:rsidRPr="006706EA">
        <w:rPr>
          <w:rFonts w:eastAsiaTheme="minorEastAsia" w:cstheme="minorHAnsi"/>
          <w:color w:val="000000" w:themeColor="text1"/>
          <w:sz w:val="22"/>
          <w:szCs w:val="22"/>
        </w:rPr>
        <w:t>Lead Palliative Care Physician</w:t>
      </w:r>
      <w:r w:rsidRPr="006706EA">
        <w:rPr>
          <w:rFonts w:cstheme="minorHAnsi"/>
          <w:sz w:val="22"/>
          <w:szCs w:val="22"/>
        </w:rPr>
        <w:br/>
      </w:r>
      <w:r w:rsidRPr="006706EA">
        <w:rPr>
          <w:rFonts w:eastAsiaTheme="minorEastAsia" w:cstheme="minorHAnsi"/>
          <w:color w:val="000000" w:themeColor="text1"/>
          <w:sz w:val="22"/>
          <w:szCs w:val="22"/>
        </w:rPr>
        <w:t>University of Vermont Health Network-Porter Medical Center</w:t>
      </w:r>
    </w:p>
    <w:p w14:paraId="1B89A404" w14:textId="438C1B11" w:rsidR="30FA8686" w:rsidRPr="006706EA" w:rsidRDefault="30FA8686" w:rsidP="30FA8686">
      <w:pPr>
        <w:rPr>
          <w:rFonts w:eastAsiaTheme="minorEastAsia" w:cstheme="minorHAnsi"/>
          <w:sz w:val="22"/>
          <w:szCs w:val="22"/>
        </w:rPr>
      </w:pPr>
      <w:r w:rsidRPr="006706EA">
        <w:rPr>
          <w:rFonts w:eastAsiaTheme="minorEastAsia" w:cstheme="minorHAnsi"/>
          <w:b/>
          <w:bCs/>
          <w:color w:val="000000" w:themeColor="text1"/>
          <w:sz w:val="22"/>
          <w:szCs w:val="22"/>
        </w:rPr>
        <w:t>Thaddeus Mason Pope, JD, PhD </w:t>
      </w:r>
    </w:p>
    <w:p w14:paraId="63E570C0" w14:textId="77777777" w:rsidR="30FA8686" w:rsidRPr="006706EA" w:rsidRDefault="30FA8686" w:rsidP="30FA8686">
      <w:pPr>
        <w:rPr>
          <w:rFonts w:eastAsiaTheme="minorEastAsia" w:cstheme="minorHAnsi"/>
          <w:sz w:val="22"/>
          <w:szCs w:val="22"/>
        </w:rPr>
      </w:pPr>
      <w:r w:rsidRPr="006706EA">
        <w:rPr>
          <w:rFonts w:eastAsiaTheme="minorEastAsia" w:cstheme="minorHAnsi"/>
          <w:color w:val="000000" w:themeColor="text1"/>
          <w:sz w:val="22"/>
          <w:szCs w:val="22"/>
        </w:rPr>
        <w:t>Health Law Professor &amp; Bioethicist </w:t>
      </w:r>
      <w:r w:rsidRPr="006706EA">
        <w:rPr>
          <w:rFonts w:cstheme="minorHAnsi"/>
          <w:sz w:val="22"/>
          <w:szCs w:val="22"/>
        </w:rPr>
        <w:br/>
      </w:r>
      <w:r w:rsidRPr="006706EA">
        <w:rPr>
          <w:rFonts w:eastAsiaTheme="minorEastAsia" w:cstheme="minorHAnsi"/>
          <w:color w:val="000000" w:themeColor="text1"/>
          <w:sz w:val="22"/>
          <w:szCs w:val="22"/>
        </w:rPr>
        <w:t>Health Law Institute at Mitchell Hamline School of Law, St. Paul, Minnesota</w:t>
      </w:r>
    </w:p>
    <w:p w14:paraId="30E93D91" w14:textId="77777777" w:rsidR="30FA8686" w:rsidRPr="006706EA" w:rsidRDefault="30FA8686" w:rsidP="30FA8686">
      <w:pPr>
        <w:rPr>
          <w:rFonts w:eastAsiaTheme="minorEastAsia" w:cstheme="minorHAnsi"/>
          <w:sz w:val="22"/>
          <w:szCs w:val="22"/>
        </w:rPr>
      </w:pPr>
      <w:r w:rsidRPr="006706EA">
        <w:rPr>
          <w:rFonts w:eastAsiaTheme="minorEastAsia" w:cstheme="minorHAnsi"/>
          <w:b/>
          <w:bCs/>
          <w:color w:val="000000" w:themeColor="text1"/>
          <w:sz w:val="22"/>
          <w:szCs w:val="22"/>
        </w:rPr>
        <w:t>Lonny Shavelson, MD</w:t>
      </w:r>
    </w:p>
    <w:p w14:paraId="6E252036" w14:textId="77777777" w:rsidR="30FA8686" w:rsidRPr="006706EA" w:rsidRDefault="30FA8686" w:rsidP="30FA8686">
      <w:pPr>
        <w:rPr>
          <w:rFonts w:eastAsiaTheme="minorEastAsia" w:cstheme="minorHAnsi"/>
          <w:sz w:val="22"/>
          <w:szCs w:val="22"/>
        </w:rPr>
      </w:pPr>
      <w:r w:rsidRPr="006706EA">
        <w:rPr>
          <w:rFonts w:eastAsiaTheme="minorEastAsia" w:cstheme="minorHAnsi"/>
          <w:color w:val="000000" w:themeColor="text1"/>
          <w:sz w:val="22"/>
          <w:szCs w:val="22"/>
        </w:rPr>
        <w:t>Bay Area End of Life Options</w:t>
      </w:r>
      <w:r w:rsidRPr="006706EA">
        <w:rPr>
          <w:rFonts w:cstheme="minorHAnsi"/>
          <w:sz w:val="22"/>
          <w:szCs w:val="22"/>
        </w:rPr>
        <w:br/>
      </w:r>
      <w:r w:rsidRPr="006706EA">
        <w:rPr>
          <w:rFonts w:eastAsiaTheme="minorEastAsia" w:cstheme="minorHAnsi"/>
          <w:color w:val="000000" w:themeColor="text1"/>
          <w:sz w:val="22"/>
          <w:szCs w:val="22"/>
        </w:rPr>
        <w:t xml:space="preserve">Chair Pro </w:t>
      </w:r>
      <w:proofErr w:type="spellStart"/>
      <w:r w:rsidRPr="006706EA">
        <w:rPr>
          <w:rFonts w:eastAsiaTheme="minorEastAsia" w:cstheme="minorHAnsi"/>
          <w:color w:val="000000" w:themeColor="text1"/>
          <w:sz w:val="22"/>
          <w:szCs w:val="22"/>
        </w:rPr>
        <w:t>Tem</w:t>
      </w:r>
      <w:proofErr w:type="spellEnd"/>
      <w:r w:rsidRPr="006706EA">
        <w:rPr>
          <w:rFonts w:eastAsiaTheme="minorEastAsia" w:cstheme="minorHAnsi"/>
          <w:color w:val="000000" w:themeColor="text1"/>
          <w:sz w:val="22"/>
          <w:szCs w:val="22"/>
        </w:rPr>
        <w:t>, American Clinicians Academy on Medical Aid in Dying</w:t>
      </w:r>
    </w:p>
    <w:p w14:paraId="593DFBC7" w14:textId="7FAE63F0" w:rsidR="30FA8686" w:rsidRPr="006706EA" w:rsidRDefault="30FA8686" w:rsidP="3015A886">
      <w:pPr>
        <w:rPr>
          <w:rFonts w:eastAsiaTheme="minorEastAsia" w:cstheme="minorHAnsi"/>
          <w:sz w:val="22"/>
          <w:szCs w:val="22"/>
        </w:rPr>
      </w:pPr>
    </w:p>
    <w:p w14:paraId="17BE1240" w14:textId="74286CE4" w:rsidR="3015A886" w:rsidRPr="006706EA" w:rsidRDefault="3015A886" w:rsidP="3015A886">
      <w:pPr>
        <w:rPr>
          <w:rFonts w:eastAsiaTheme="minorEastAsia" w:cstheme="minorHAnsi"/>
          <w:sz w:val="22"/>
          <w:szCs w:val="22"/>
        </w:rPr>
      </w:pPr>
    </w:p>
    <w:sectPr w:rsidR="3015A886" w:rsidRPr="006706EA" w:rsidSect="0013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C74"/>
    <w:multiLevelType w:val="hybridMultilevel"/>
    <w:tmpl w:val="FFC840D8"/>
    <w:lvl w:ilvl="0" w:tplc="2EF60520">
      <w:start w:val="1"/>
      <w:numFmt w:val="bullet"/>
      <w:lvlText w:val=""/>
      <w:lvlJc w:val="left"/>
      <w:pPr>
        <w:ind w:left="720" w:hanging="360"/>
      </w:pPr>
      <w:rPr>
        <w:rFonts w:ascii="Symbol" w:hAnsi="Symbol" w:hint="default"/>
      </w:rPr>
    </w:lvl>
    <w:lvl w:ilvl="1" w:tplc="F976D9CA">
      <w:start w:val="1"/>
      <w:numFmt w:val="bullet"/>
      <w:lvlText w:val="o"/>
      <w:lvlJc w:val="left"/>
      <w:pPr>
        <w:ind w:left="1440" w:hanging="360"/>
      </w:pPr>
      <w:rPr>
        <w:rFonts w:ascii="Courier New" w:hAnsi="Courier New" w:hint="default"/>
      </w:rPr>
    </w:lvl>
    <w:lvl w:ilvl="2" w:tplc="9D66EED2">
      <w:start w:val="1"/>
      <w:numFmt w:val="bullet"/>
      <w:lvlText w:val=""/>
      <w:lvlJc w:val="left"/>
      <w:pPr>
        <w:ind w:left="2160" w:hanging="360"/>
      </w:pPr>
      <w:rPr>
        <w:rFonts w:ascii="Wingdings" w:hAnsi="Wingdings" w:hint="default"/>
      </w:rPr>
    </w:lvl>
    <w:lvl w:ilvl="3" w:tplc="B4968C9E">
      <w:start w:val="1"/>
      <w:numFmt w:val="bullet"/>
      <w:lvlText w:val=""/>
      <w:lvlJc w:val="left"/>
      <w:pPr>
        <w:ind w:left="2880" w:hanging="360"/>
      </w:pPr>
      <w:rPr>
        <w:rFonts w:ascii="Symbol" w:hAnsi="Symbol" w:hint="default"/>
      </w:rPr>
    </w:lvl>
    <w:lvl w:ilvl="4" w:tplc="26840BAE">
      <w:start w:val="1"/>
      <w:numFmt w:val="bullet"/>
      <w:lvlText w:val="o"/>
      <w:lvlJc w:val="left"/>
      <w:pPr>
        <w:ind w:left="3600" w:hanging="360"/>
      </w:pPr>
      <w:rPr>
        <w:rFonts w:ascii="Courier New" w:hAnsi="Courier New" w:hint="default"/>
      </w:rPr>
    </w:lvl>
    <w:lvl w:ilvl="5" w:tplc="882809A0">
      <w:start w:val="1"/>
      <w:numFmt w:val="bullet"/>
      <w:lvlText w:val=""/>
      <w:lvlJc w:val="left"/>
      <w:pPr>
        <w:ind w:left="4320" w:hanging="360"/>
      </w:pPr>
      <w:rPr>
        <w:rFonts w:ascii="Wingdings" w:hAnsi="Wingdings" w:hint="default"/>
      </w:rPr>
    </w:lvl>
    <w:lvl w:ilvl="6" w:tplc="AB1863FC">
      <w:start w:val="1"/>
      <w:numFmt w:val="bullet"/>
      <w:lvlText w:val=""/>
      <w:lvlJc w:val="left"/>
      <w:pPr>
        <w:ind w:left="5040" w:hanging="360"/>
      </w:pPr>
      <w:rPr>
        <w:rFonts w:ascii="Symbol" w:hAnsi="Symbol" w:hint="default"/>
      </w:rPr>
    </w:lvl>
    <w:lvl w:ilvl="7" w:tplc="5798DAE4">
      <w:start w:val="1"/>
      <w:numFmt w:val="bullet"/>
      <w:lvlText w:val="o"/>
      <w:lvlJc w:val="left"/>
      <w:pPr>
        <w:ind w:left="5760" w:hanging="360"/>
      </w:pPr>
      <w:rPr>
        <w:rFonts w:ascii="Courier New" w:hAnsi="Courier New" w:hint="default"/>
      </w:rPr>
    </w:lvl>
    <w:lvl w:ilvl="8" w:tplc="09D6C4FC">
      <w:start w:val="1"/>
      <w:numFmt w:val="bullet"/>
      <w:lvlText w:val=""/>
      <w:lvlJc w:val="left"/>
      <w:pPr>
        <w:ind w:left="6480" w:hanging="360"/>
      </w:pPr>
      <w:rPr>
        <w:rFonts w:ascii="Wingdings" w:hAnsi="Wingdings" w:hint="default"/>
      </w:rPr>
    </w:lvl>
  </w:abstractNum>
  <w:abstractNum w:abstractNumId="1" w15:restartNumberingAfterBreak="0">
    <w:nsid w:val="3402778C"/>
    <w:multiLevelType w:val="hybridMultilevel"/>
    <w:tmpl w:val="2C5E928E"/>
    <w:lvl w:ilvl="0" w:tplc="D5940B62">
      <w:start w:val="1"/>
      <w:numFmt w:val="bullet"/>
      <w:lvlText w:val=""/>
      <w:lvlJc w:val="left"/>
      <w:pPr>
        <w:ind w:left="720" w:hanging="360"/>
      </w:pPr>
      <w:rPr>
        <w:rFonts w:ascii="Symbol" w:hAnsi="Symbol" w:hint="default"/>
      </w:rPr>
    </w:lvl>
    <w:lvl w:ilvl="1" w:tplc="0964AD70">
      <w:start w:val="1"/>
      <w:numFmt w:val="bullet"/>
      <w:lvlText w:val="o"/>
      <w:lvlJc w:val="left"/>
      <w:pPr>
        <w:ind w:left="1440" w:hanging="360"/>
      </w:pPr>
      <w:rPr>
        <w:rFonts w:ascii="Courier New" w:hAnsi="Courier New" w:hint="default"/>
      </w:rPr>
    </w:lvl>
    <w:lvl w:ilvl="2" w:tplc="41301C6A">
      <w:start w:val="1"/>
      <w:numFmt w:val="bullet"/>
      <w:lvlText w:val=""/>
      <w:lvlJc w:val="left"/>
      <w:pPr>
        <w:ind w:left="2160" w:hanging="360"/>
      </w:pPr>
      <w:rPr>
        <w:rFonts w:ascii="Wingdings" w:hAnsi="Wingdings" w:hint="default"/>
      </w:rPr>
    </w:lvl>
    <w:lvl w:ilvl="3" w:tplc="783AED40">
      <w:start w:val="1"/>
      <w:numFmt w:val="bullet"/>
      <w:lvlText w:val=""/>
      <w:lvlJc w:val="left"/>
      <w:pPr>
        <w:ind w:left="2880" w:hanging="360"/>
      </w:pPr>
      <w:rPr>
        <w:rFonts w:ascii="Symbol" w:hAnsi="Symbol" w:hint="default"/>
      </w:rPr>
    </w:lvl>
    <w:lvl w:ilvl="4" w:tplc="45228C12">
      <w:start w:val="1"/>
      <w:numFmt w:val="bullet"/>
      <w:lvlText w:val="o"/>
      <w:lvlJc w:val="left"/>
      <w:pPr>
        <w:ind w:left="3600" w:hanging="360"/>
      </w:pPr>
      <w:rPr>
        <w:rFonts w:ascii="Courier New" w:hAnsi="Courier New" w:hint="default"/>
      </w:rPr>
    </w:lvl>
    <w:lvl w:ilvl="5" w:tplc="2AFEE0AE">
      <w:start w:val="1"/>
      <w:numFmt w:val="bullet"/>
      <w:lvlText w:val=""/>
      <w:lvlJc w:val="left"/>
      <w:pPr>
        <w:ind w:left="4320" w:hanging="360"/>
      </w:pPr>
      <w:rPr>
        <w:rFonts w:ascii="Wingdings" w:hAnsi="Wingdings" w:hint="default"/>
      </w:rPr>
    </w:lvl>
    <w:lvl w:ilvl="6" w:tplc="F500BC34">
      <w:start w:val="1"/>
      <w:numFmt w:val="bullet"/>
      <w:lvlText w:val=""/>
      <w:lvlJc w:val="left"/>
      <w:pPr>
        <w:ind w:left="5040" w:hanging="360"/>
      </w:pPr>
      <w:rPr>
        <w:rFonts w:ascii="Symbol" w:hAnsi="Symbol" w:hint="default"/>
      </w:rPr>
    </w:lvl>
    <w:lvl w:ilvl="7" w:tplc="C3F8B61C">
      <w:start w:val="1"/>
      <w:numFmt w:val="bullet"/>
      <w:lvlText w:val="o"/>
      <w:lvlJc w:val="left"/>
      <w:pPr>
        <w:ind w:left="5760" w:hanging="360"/>
      </w:pPr>
      <w:rPr>
        <w:rFonts w:ascii="Courier New" w:hAnsi="Courier New" w:hint="default"/>
      </w:rPr>
    </w:lvl>
    <w:lvl w:ilvl="8" w:tplc="FF1A42F0">
      <w:start w:val="1"/>
      <w:numFmt w:val="bullet"/>
      <w:lvlText w:val=""/>
      <w:lvlJc w:val="left"/>
      <w:pPr>
        <w:ind w:left="6480" w:hanging="360"/>
      </w:pPr>
      <w:rPr>
        <w:rFonts w:ascii="Wingdings" w:hAnsi="Wingdings" w:hint="default"/>
      </w:rPr>
    </w:lvl>
  </w:abstractNum>
  <w:abstractNum w:abstractNumId="2" w15:restartNumberingAfterBreak="0">
    <w:nsid w:val="3F696C23"/>
    <w:multiLevelType w:val="hybridMultilevel"/>
    <w:tmpl w:val="B6B820FE"/>
    <w:lvl w:ilvl="0" w:tplc="F79CDE26">
      <w:start w:val="1"/>
      <w:numFmt w:val="bullet"/>
      <w:lvlText w:val=""/>
      <w:lvlJc w:val="left"/>
      <w:pPr>
        <w:ind w:left="720" w:hanging="360"/>
      </w:pPr>
      <w:rPr>
        <w:rFonts w:ascii="Symbol" w:hAnsi="Symbol" w:hint="default"/>
      </w:rPr>
    </w:lvl>
    <w:lvl w:ilvl="1" w:tplc="F06E3F1C">
      <w:start w:val="1"/>
      <w:numFmt w:val="bullet"/>
      <w:lvlText w:val="o"/>
      <w:lvlJc w:val="left"/>
      <w:pPr>
        <w:ind w:left="1440" w:hanging="360"/>
      </w:pPr>
      <w:rPr>
        <w:rFonts w:ascii="Courier New" w:hAnsi="Courier New" w:hint="default"/>
      </w:rPr>
    </w:lvl>
    <w:lvl w:ilvl="2" w:tplc="9774B03E">
      <w:start w:val="1"/>
      <w:numFmt w:val="bullet"/>
      <w:lvlText w:val=""/>
      <w:lvlJc w:val="left"/>
      <w:pPr>
        <w:ind w:left="2160" w:hanging="360"/>
      </w:pPr>
      <w:rPr>
        <w:rFonts w:ascii="Wingdings" w:hAnsi="Wingdings" w:hint="default"/>
      </w:rPr>
    </w:lvl>
    <w:lvl w:ilvl="3" w:tplc="C1F670A8">
      <w:start w:val="1"/>
      <w:numFmt w:val="bullet"/>
      <w:lvlText w:val=""/>
      <w:lvlJc w:val="left"/>
      <w:pPr>
        <w:ind w:left="2880" w:hanging="360"/>
      </w:pPr>
      <w:rPr>
        <w:rFonts w:ascii="Symbol" w:hAnsi="Symbol" w:hint="default"/>
      </w:rPr>
    </w:lvl>
    <w:lvl w:ilvl="4" w:tplc="3FC03B6A">
      <w:start w:val="1"/>
      <w:numFmt w:val="bullet"/>
      <w:lvlText w:val="o"/>
      <w:lvlJc w:val="left"/>
      <w:pPr>
        <w:ind w:left="3600" w:hanging="360"/>
      </w:pPr>
      <w:rPr>
        <w:rFonts w:ascii="Courier New" w:hAnsi="Courier New" w:hint="default"/>
      </w:rPr>
    </w:lvl>
    <w:lvl w:ilvl="5" w:tplc="CA722B76">
      <w:start w:val="1"/>
      <w:numFmt w:val="bullet"/>
      <w:lvlText w:val=""/>
      <w:lvlJc w:val="left"/>
      <w:pPr>
        <w:ind w:left="4320" w:hanging="360"/>
      </w:pPr>
      <w:rPr>
        <w:rFonts w:ascii="Wingdings" w:hAnsi="Wingdings" w:hint="default"/>
      </w:rPr>
    </w:lvl>
    <w:lvl w:ilvl="6" w:tplc="DB6447BC">
      <w:start w:val="1"/>
      <w:numFmt w:val="bullet"/>
      <w:lvlText w:val=""/>
      <w:lvlJc w:val="left"/>
      <w:pPr>
        <w:ind w:left="5040" w:hanging="360"/>
      </w:pPr>
      <w:rPr>
        <w:rFonts w:ascii="Symbol" w:hAnsi="Symbol" w:hint="default"/>
      </w:rPr>
    </w:lvl>
    <w:lvl w:ilvl="7" w:tplc="6368E47A">
      <w:start w:val="1"/>
      <w:numFmt w:val="bullet"/>
      <w:lvlText w:val="o"/>
      <w:lvlJc w:val="left"/>
      <w:pPr>
        <w:ind w:left="5760" w:hanging="360"/>
      </w:pPr>
      <w:rPr>
        <w:rFonts w:ascii="Courier New" w:hAnsi="Courier New" w:hint="default"/>
      </w:rPr>
    </w:lvl>
    <w:lvl w:ilvl="8" w:tplc="C9706608">
      <w:start w:val="1"/>
      <w:numFmt w:val="bullet"/>
      <w:lvlText w:val=""/>
      <w:lvlJc w:val="left"/>
      <w:pPr>
        <w:ind w:left="6480" w:hanging="360"/>
      </w:pPr>
      <w:rPr>
        <w:rFonts w:ascii="Wingdings" w:hAnsi="Wingdings" w:hint="default"/>
      </w:rPr>
    </w:lvl>
  </w:abstractNum>
  <w:abstractNum w:abstractNumId="3" w15:restartNumberingAfterBreak="0">
    <w:nsid w:val="49B72C04"/>
    <w:multiLevelType w:val="hybridMultilevel"/>
    <w:tmpl w:val="B1E2D5E6"/>
    <w:lvl w:ilvl="0" w:tplc="76ECC452">
      <w:start w:val="1"/>
      <w:numFmt w:val="bullet"/>
      <w:lvlText w:val=""/>
      <w:lvlJc w:val="left"/>
      <w:pPr>
        <w:ind w:left="720" w:hanging="360"/>
      </w:pPr>
      <w:rPr>
        <w:rFonts w:ascii="Symbol" w:hAnsi="Symbol" w:hint="default"/>
      </w:rPr>
    </w:lvl>
    <w:lvl w:ilvl="1" w:tplc="13BC8E4E">
      <w:start w:val="1"/>
      <w:numFmt w:val="bullet"/>
      <w:lvlText w:val="o"/>
      <w:lvlJc w:val="left"/>
      <w:pPr>
        <w:ind w:left="1440" w:hanging="360"/>
      </w:pPr>
      <w:rPr>
        <w:rFonts w:ascii="Courier New" w:hAnsi="Courier New" w:hint="default"/>
      </w:rPr>
    </w:lvl>
    <w:lvl w:ilvl="2" w:tplc="B062424C">
      <w:start w:val="1"/>
      <w:numFmt w:val="bullet"/>
      <w:lvlText w:val=""/>
      <w:lvlJc w:val="left"/>
      <w:pPr>
        <w:ind w:left="2160" w:hanging="360"/>
      </w:pPr>
      <w:rPr>
        <w:rFonts w:ascii="Wingdings" w:hAnsi="Wingdings" w:hint="default"/>
      </w:rPr>
    </w:lvl>
    <w:lvl w:ilvl="3" w:tplc="D8E8F66E">
      <w:start w:val="1"/>
      <w:numFmt w:val="bullet"/>
      <w:lvlText w:val=""/>
      <w:lvlJc w:val="left"/>
      <w:pPr>
        <w:ind w:left="2880" w:hanging="360"/>
      </w:pPr>
      <w:rPr>
        <w:rFonts w:ascii="Symbol" w:hAnsi="Symbol" w:hint="default"/>
      </w:rPr>
    </w:lvl>
    <w:lvl w:ilvl="4" w:tplc="6682F0DA">
      <w:start w:val="1"/>
      <w:numFmt w:val="bullet"/>
      <w:lvlText w:val="o"/>
      <w:lvlJc w:val="left"/>
      <w:pPr>
        <w:ind w:left="3600" w:hanging="360"/>
      </w:pPr>
      <w:rPr>
        <w:rFonts w:ascii="Courier New" w:hAnsi="Courier New" w:hint="default"/>
      </w:rPr>
    </w:lvl>
    <w:lvl w:ilvl="5" w:tplc="8CDEC9B8">
      <w:start w:val="1"/>
      <w:numFmt w:val="bullet"/>
      <w:lvlText w:val=""/>
      <w:lvlJc w:val="left"/>
      <w:pPr>
        <w:ind w:left="4320" w:hanging="360"/>
      </w:pPr>
      <w:rPr>
        <w:rFonts w:ascii="Wingdings" w:hAnsi="Wingdings" w:hint="default"/>
      </w:rPr>
    </w:lvl>
    <w:lvl w:ilvl="6" w:tplc="34400300">
      <w:start w:val="1"/>
      <w:numFmt w:val="bullet"/>
      <w:lvlText w:val=""/>
      <w:lvlJc w:val="left"/>
      <w:pPr>
        <w:ind w:left="5040" w:hanging="360"/>
      </w:pPr>
      <w:rPr>
        <w:rFonts w:ascii="Symbol" w:hAnsi="Symbol" w:hint="default"/>
      </w:rPr>
    </w:lvl>
    <w:lvl w:ilvl="7" w:tplc="993C0436">
      <w:start w:val="1"/>
      <w:numFmt w:val="bullet"/>
      <w:lvlText w:val="o"/>
      <w:lvlJc w:val="left"/>
      <w:pPr>
        <w:ind w:left="5760" w:hanging="360"/>
      </w:pPr>
      <w:rPr>
        <w:rFonts w:ascii="Courier New" w:hAnsi="Courier New" w:hint="default"/>
      </w:rPr>
    </w:lvl>
    <w:lvl w:ilvl="8" w:tplc="DAF8F87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B6"/>
    <w:rsid w:val="00002941"/>
    <w:rsid w:val="0000532A"/>
    <w:rsid w:val="0000605C"/>
    <w:rsid w:val="00006CAF"/>
    <w:rsid w:val="000100F9"/>
    <w:rsid w:val="00010356"/>
    <w:rsid w:val="00014273"/>
    <w:rsid w:val="0002083F"/>
    <w:rsid w:val="00020CD7"/>
    <w:rsid w:val="000236F8"/>
    <w:rsid w:val="00034151"/>
    <w:rsid w:val="00036A53"/>
    <w:rsid w:val="00037D32"/>
    <w:rsid w:val="000451B6"/>
    <w:rsid w:val="00045C37"/>
    <w:rsid w:val="0004616D"/>
    <w:rsid w:val="000472CE"/>
    <w:rsid w:val="000510DF"/>
    <w:rsid w:val="00051D97"/>
    <w:rsid w:val="00053D73"/>
    <w:rsid w:val="00055933"/>
    <w:rsid w:val="00057E4F"/>
    <w:rsid w:val="000607FE"/>
    <w:rsid w:val="00071079"/>
    <w:rsid w:val="000717A5"/>
    <w:rsid w:val="000808F5"/>
    <w:rsid w:val="00084FC5"/>
    <w:rsid w:val="000869C6"/>
    <w:rsid w:val="00086CDC"/>
    <w:rsid w:val="000950B1"/>
    <w:rsid w:val="000A79DC"/>
    <w:rsid w:val="000C4346"/>
    <w:rsid w:val="000C4A72"/>
    <w:rsid w:val="000D0421"/>
    <w:rsid w:val="000D3EC3"/>
    <w:rsid w:val="000E38D5"/>
    <w:rsid w:val="000E5363"/>
    <w:rsid w:val="000E7B0A"/>
    <w:rsid w:val="000F24BA"/>
    <w:rsid w:val="000F7127"/>
    <w:rsid w:val="001021AF"/>
    <w:rsid w:val="00103867"/>
    <w:rsid w:val="00103919"/>
    <w:rsid w:val="001066FB"/>
    <w:rsid w:val="001111DD"/>
    <w:rsid w:val="00111D7A"/>
    <w:rsid w:val="00114CAB"/>
    <w:rsid w:val="001209B1"/>
    <w:rsid w:val="00127904"/>
    <w:rsid w:val="00130637"/>
    <w:rsid w:val="00133157"/>
    <w:rsid w:val="001334F0"/>
    <w:rsid w:val="00133DCA"/>
    <w:rsid w:val="00133EC6"/>
    <w:rsid w:val="001356A4"/>
    <w:rsid w:val="001401B6"/>
    <w:rsid w:val="0014179B"/>
    <w:rsid w:val="001508F3"/>
    <w:rsid w:val="001516B1"/>
    <w:rsid w:val="00154DC4"/>
    <w:rsid w:val="00154E20"/>
    <w:rsid w:val="001620C1"/>
    <w:rsid w:val="00185D08"/>
    <w:rsid w:val="001905B8"/>
    <w:rsid w:val="00197CC1"/>
    <w:rsid w:val="001A221C"/>
    <w:rsid w:val="001A68BF"/>
    <w:rsid w:val="001C696E"/>
    <w:rsid w:val="001D288C"/>
    <w:rsid w:val="001D69EB"/>
    <w:rsid w:val="001E7F72"/>
    <w:rsid w:val="00223B74"/>
    <w:rsid w:val="00231467"/>
    <w:rsid w:val="00235B52"/>
    <w:rsid w:val="00236DF9"/>
    <w:rsid w:val="00237135"/>
    <w:rsid w:val="0024033D"/>
    <w:rsid w:val="0024188A"/>
    <w:rsid w:val="002455F1"/>
    <w:rsid w:val="00250AF2"/>
    <w:rsid w:val="002512FE"/>
    <w:rsid w:val="00260744"/>
    <w:rsid w:val="00277A2E"/>
    <w:rsid w:val="00281B9D"/>
    <w:rsid w:val="00283728"/>
    <w:rsid w:val="00287CBF"/>
    <w:rsid w:val="00291701"/>
    <w:rsid w:val="00297A17"/>
    <w:rsid w:val="002A07CA"/>
    <w:rsid w:val="002A41CF"/>
    <w:rsid w:val="002A4BB6"/>
    <w:rsid w:val="002A59E1"/>
    <w:rsid w:val="002B1B0B"/>
    <w:rsid w:val="002B75AD"/>
    <w:rsid w:val="002C333C"/>
    <w:rsid w:val="002C4EA6"/>
    <w:rsid w:val="002D4E07"/>
    <w:rsid w:val="002D738C"/>
    <w:rsid w:val="002D7ABA"/>
    <w:rsid w:val="002E670F"/>
    <w:rsid w:val="002E70F3"/>
    <w:rsid w:val="002E7E57"/>
    <w:rsid w:val="002F04B9"/>
    <w:rsid w:val="002F0B2C"/>
    <w:rsid w:val="003059A3"/>
    <w:rsid w:val="00315385"/>
    <w:rsid w:val="00321D8B"/>
    <w:rsid w:val="00322E26"/>
    <w:rsid w:val="00325DC5"/>
    <w:rsid w:val="00337302"/>
    <w:rsid w:val="003427E9"/>
    <w:rsid w:val="00343604"/>
    <w:rsid w:val="00350B56"/>
    <w:rsid w:val="00355177"/>
    <w:rsid w:val="00356159"/>
    <w:rsid w:val="0035759A"/>
    <w:rsid w:val="00372EDD"/>
    <w:rsid w:val="0037449D"/>
    <w:rsid w:val="00383685"/>
    <w:rsid w:val="00386F18"/>
    <w:rsid w:val="00391494"/>
    <w:rsid w:val="003A2A19"/>
    <w:rsid w:val="003A7DBF"/>
    <w:rsid w:val="003B13A9"/>
    <w:rsid w:val="003B432C"/>
    <w:rsid w:val="003C05E8"/>
    <w:rsid w:val="003C53F3"/>
    <w:rsid w:val="003E4243"/>
    <w:rsid w:val="003E48D2"/>
    <w:rsid w:val="003F06E3"/>
    <w:rsid w:val="003F0E5A"/>
    <w:rsid w:val="003F538F"/>
    <w:rsid w:val="00401767"/>
    <w:rsid w:val="004103FC"/>
    <w:rsid w:val="00410ED1"/>
    <w:rsid w:val="00413BF6"/>
    <w:rsid w:val="00421D37"/>
    <w:rsid w:val="00426BDB"/>
    <w:rsid w:val="004273D6"/>
    <w:rsid w:val="0043477B"/>
    <w:rsid w:val="00436E2F"/>
    <w:rsid w:val="0044175D"/>
    <w:rsid w:val="0044405C"/>
    <w:rsid w:val="0045577E"/>
    <w:rsid w:val="00455A26"/>
    <w:rsid w:val="0046256B"/>
    <w:rsid w:val="00464C75"/>
    <w:rsid w:val="004673F1"/>
    <w:rsid w:val="00474EB9"/>
    <w:rsid w:val="0048714C"/>
    <w:rsid w:val="004953CF"/>
    <w:rsid w:val="004A5F85"/>
    <w:rsid w:val="004B2C5B"/>
    <w:rsid w:val="004B4C81"/>
    <w:rsid w:val="004C04B7"/>
    <w:rsid w:val="004C1E3F"/>
    <w:rsid w:val="004C2799"/>
    <w:rsid w:val="004D4424"/>
    <w:rsid w:val="004D47A1"/>
    <w:rsid w:val="004E2FEB"/>
    <w:rsid w:val="00502B81"/>
    <w:rsid w:val="00515273"/>
    <w:rsid w:val="0052134B"/>
    <w:rsid w:val="0052466D"/>
    <w:rsid w:val="0054129B"/>
    <w:rsid w:val="00541DA1"/>
    <w:rsid w:val="00542254"/>
    <w:rsid w:val="0054783D"/>
    <w:rsid w:val="00551201"/>
    <w:rsid w:val="00551499"/>
    <w:rsid w:val="00557A6D"/>
    <w:rsid w:val="0056251F"/>
    <w:rsid w:val="0056669E"/>
    <w:rsid w:val="00577D22"/>
    <w:rsid w:val="005A4945"/>
    <w:rsid w:val="005A796F"/>
    <w:rsid w:val="005B25D5"/>
    <w:rsid w:val="005B30B0"/>
    <w:rsid w:val="005B4B77"/>
    <w:rsid w:val="005B4E60"/>
    <w:rsid w:val="005C18A2"/>
    <w:rsid w:val="005C60CF"/>
    <w:rsid w:val="005D1A21"/>
    <w:rsid w:val="005E070F"/>
    <w:rsid w:val="005E38DD"/>
    <w:rsid w:val="005E6E8D"/>
    <w:rsid w:val="005F3A39"/>
    <w:rsid w:val="005F5606"/>
    <w:rsid w:val="006000C4"/>
    <w:rsid w:val="00601203"/>
    <w:rsid w:val="006056D3"/>
    <w:rsid w:val="0061637D"/>
    <w:rsid w:val="006271B8"/>
    <w:rsid w:val="00630995"/>
    <w:rsid w:val="006345AC"/>
    <w:rsid w:val="00636A52"/>
    <w:rsid w:val="00636AFE"/>
    <w:rsid w:val="00651C6D"/>
    <w:rsid w:val="006521D5"/>
    <w:rsid w:val="00667695"/>
    <w:rsid w:val="006706EA"/>
    <w:rsid w:val="00670CFB"/>
    <w:rsid w:val="0067214E"/>
    <w:rsid w:val="00693678"/>
    <w:rsid w:val="006936C6"/>
    <w:rsid w:val="00695696"/>
    <w:rsid w:val="00696EA7"/>
    <w:rsid w:val="006A12EB"/>
    <w:rsid w:val="006A4919"/>
    <w:rsid w:val="006C5971"/>
    <w:rsid w:val="006D4CC9"/>
    <w:rsid w:val="006D75AF"/>
    <w:rsid w:val="006E5C8E"/>
    <w:rsid w:val="006E677C"/>
    <w:rsid w:val="006F24C1"/>
    <w:rsid w:val="006F2803"/>
    <w:rsid w:val="007266A8"/>
    <w:rsid w:val="00741131"/>
    <w:rsid w:val="0074121C"/>
    <w:rsid w:val="0075467A"/>
    <w:rsid w:val="00757C45"/>
    <w:rsid w:val="00762AD4"/>
    <w:rsid w:val="0076594D"/>
    <w:rsid w:val="00790496"/>
    <w:rsid w:val="007A549C"/>
    <w:rsid w:val="007B2ABA"/>
    <w:rsid w:val="007B42C7"/>
    <w:rsid w:val="007B6590"/>
    <w:rsid w:val="007B6F20"/>
    <w:rsid w:val="007C2C1C"/>
    <w:rsid w:val="007C45CF"/>
    <w:rsid w:val="007C7363"/>
    <w:rsid w:val="007F07A7"/>
    <w:rsid w:val="007F56D5"/>
    <w:rsid w:val="007F7B4C"/>
    <w:rsid w:val="008032D6"/>
    <w:rsid w:val="00824518"/>
    <w:rsid w:val="008307EB"/>
    <w:rsid w:val="0084384E"/>
    <w:rsid w:val="008450FD"/>
    <w:rsid w:val="00850834"/>
    <w:rsid w:val="00856905"/>
    <w:rsid w:val="00862552"/>
    <w:rsid w:val="00871D08"/>
    <w:rsid w:val="00883C90"/>
    <w:rsid w:val="008873CE"/>
    <w:rsid w:val="00896E4F"/>
    <w:rsid w:val="008B6A04"/>
    <w:rsid w:val="008C4950"/>
    <w:rsid w:val="008C6C72"/>
    <w:rsid w:val="008C7537"/>
    <w:rsid w:val="008D729A"/>
    <w:rsid w:val="008E097E"/>
    <w:rsid w:val="008E160D"/>
    <w:rsid w:val="0090067C"/>
    <w:rsid w:val="00902260"/>
    <w:rsid w:val="009030B5"/>
    <w:rsid w:val="009045EF"/>
    <w:rsid w:val="00907FDB"/>
    <w:rsid w:val="00935ECA"/>
    <w:rsid w:val="009422AE"/>
    <w:rsid w:val="00961517"/>
    <w:rsid w:val="00966154"/>
    <w:rsid w:val="00982D7D"/>
    <w:rsid w:val="00990FAD"/>
    <w:rsid w:val="009A52EB"/>
    <w:rsid w:val="009A6FDA"/>
    <w:rsid w:val="009B04D0"/>
    <w:rsid w:val="009B132F"/>
    <w:rsid w:val="009B3D20"/>
    <w:rsid w:val="009C3533"/>
    <w:rsid w:val="009D7CC1"/>
    <w:rsid w:val="009E10E4"/>
    <w:rsid w:val="00A00692"/>
    <w:rsid w:val="00A032D8"/>
    <w:rsid w:val="00A04385"/>
    <w:rsid w:val="00A178F0"/>
    <w:rsid w:val="00A17E57"/>
    <w:rsid w:val="00A3047F"/>
    <w:rsid w:val="00A3318F"/>
    <w:rsid w:val="00A47148"/>
    <w:rsid w:val="00A610EC"/>
    <w:rsid w:val="00A61ADB"/>
    <w:rsid w:val="00A63AA4"/>
    <w:rsid w:val="00A67E78"/>
    <w:rsid w:val="00A775D3"/>
    <w:rsid w:val="00A8565E"/>
    <w:rsid w:val="00A85E5B"/>
    <w:rsid w:val="00AA1403"/>
    <w:rsid w:val="00AA4692"/>
    <w:rsid w:val="00AB6597"/>
    <w:rsid w:val="00AD32B9"/>
    <w:rsid w:val="00AD3F0B"/>
    <w:rsid w:val="00AD4299"/>
    <w:rsid w:val="00AE5337"/>
    <w:rsid w:val="00AE6147"/>
    <w:rsid w:val="00AF07C4"/>
    <w:rsid w:val="00B24385"/>
    <w:rsid w:val="00B3636A"/>
    <w:rsid w:val="00B4504E"/>
    <w:rsid w:val="00B46F86"/>
    <w:rsid w:val="00B5394A"/>
    <w:rsid w:val="00B659F7"/>
    <w:rsid w:val="00B72126"/>
    <w:rsid w:val="00B72B8F"/>
    <w:rsid w:val="00B824EF"/>
    <w:rsid w:val="00B82D16"/>
    <w:rsid w:val="00B95A3F"/>
    <w:rsid w:val="00BA5777"/>
    <w:rsid w:val="00BB5B76"/>
    <w:rsid w:val="00BC38C0"/>
    <w:rsid w:val="00BD2F48"/>
    <w:rsid w:val="00BD3712"/>
    <w:rsid w:val="00BE5689"/>
    <w:rsid w:val="00BF033C"/>
    <w:rsid w:val="00BF08F7"/>
    <w:rsid w:val="00C02DC3"/>
    <w:rsid w:val="00C06136"/>
    <w:rsid w:val="00C1284E"/>
    <w:rsid w:val="00C1598A"/>
    <w:rsid w:val="00C22675"/>
    <w:rsid w:val="00C27284"/>
    <w:rsid w:val="00C33861"/>
    <w:rsid w:val="00C36F42"/>
    <w:rsid w:val="00C46859"/>
    <w:rsid w:val="00C51FB2"/>
    <w:rsid w:val="00C5361F"/>
    <w:rsid w:val="00C65A77"/>
    <w:rsid w:val="00C71E99"/>
    <w:rsid w:val="00C85D4C"/>
    <w:rsid w:val="00C95376"/>
    <w:rsid w:val="00CB12FE"/>
    <w:rsid w:val="00CB5664"/>
    <w:rsid w:val="00CC1EBA"/>
    <w:rsid w:val="00CC2C77"/>
    <w:rsid w:val="00CC3913"/>
    <w:rsid w:val="00CC4AAD"/>
    <w:rsid w:val="00CC68F4"/>
    <w:rsid w:val="00CE0D2E"/>
    <w:rsid w:val="00CE1A3B"/>
    <w:rsid w:val="00CE2FB9"/>
    <w:rsid w:val="00CE40F3"/>
    <w:rsid w:val="00CF1E6F"/>
    <w:rsid w:val="00D17EBD"/>
    <w:rsid w:val="00D22016"/>
    <w:rsid w:val="00D256F6"/>
    <w:rsid w:val="00D407ED"/>
    <w:rsid w:val="00D572B2"/>
    <w:rsid w:val="00D60051"/>
    <w:rsid w:val="00D677A8"/>
    <w:rsid w:val="00D75505"/>
    <w:rsid w:val="00D873CC"/>
    <w:rsid w:val="00D8790E"/>
    <w:rsid w:val="00DA5673"/>
    <w:rsid w:val="00DB6910"/>
    <w:rsid w:val="00DC1753"/>
    <w:rsid w:val="00DC1B63"/>
    <w:rsid w:val="00DC3251"/>
    <w:rsid w:val="00DD7BBB"/>
    <w:rsid w:val="00DE64BB"/>
    <w:rsid w:val="00DF362D"/>
    <w:rsid w:val="00DF6115"/>
    <w:rsid w:val="00E1368D"/>
    <w:rsid w:val="00E141AB"/>
    <w:rsid w:val="00E34A7B"/>
    <w:rsid w:val="00E3669F"/>
    <w:rsid w:val="00E44CEF"/>
    <w:rsid w:val="00E52BCA"/>
    <w:rsid w:val="00E85840"/>
    <w:rsid w:val="00EA1825"/>
    <w:rsid w:val="00EA4F97"/>
    <w:rsid w:val="00EA7055"/>
    <w:rsid w:val="00EB2629"/>
    <w:rsid w:val="00ED5FB6"/>
    <w:rsid w:val="00ED5FE7"/>
    <w:rsid w:val="00EE003C"/>
    <w:rsid w:val="00EE2342"/>
    <w:rsid w:val="00F00C5A"/>
    <w:rsid w:val="00F112C8"/>
    <w:rsid w:val="00F153AD"/>
    <w:rsid w:val="00F22B64"/>
    <w:rsid w:val="00F24ED5"/>
    <w:rsid w:val="00F3032C"/>
    <w:rsid w:val="00F35E2F"/>
    <w:rsid w:val="00F40296"/>
    <w:rsid w:val="00F474F4"/>
    <w:rsid w:val="00F50203"/>
    <w:rsid w:val="00F504E2"/>
    <w:rsid w:val="00F56C84"/>
    <w:rsid w:val="00F61241"/>
    <w:rsid w:val="00F7291E"/>
    <w:rsid w:val="00F85F54"/>
    <w:rsid w:val="00FA6302"/>
    <w:rsid w:val="00FB4CE1"/>
    <w:rsid w:val="00FB6C65"/>
    <w:rsid w:val="00FC5333"/>
    <w:rsid w:val="00FC5389"/>
    <w:rsid w:val="00FC5CB1"/>
    <w:rsid w:val="00FD0E89"/>
    <w:rsid w:val="00FD694C"/>
    <w:rsid w:val="00FF41FC"/>
    <w:rsid w:val="00FF4A61"/>
    <w:rsid w:val="00FF4BB9"/>
    <w:rsid w:val="00FF685D"/>
    <w:rsid w:val="3015A886"/>
    <w:rsid w:val="30FA8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05AAF9"/>
  <w15:chartTrackingRefBased/>
  <w15:docId w15:val="{EB881E16-CE76-154E-942A-D9543EF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BB6"/>
    <w:rPr>
      <w:color w:val="0000FF"/>
      <w:u w:val="single"/>
    </w:rPr>
  </w:style>
  <w:style w:type="paragraph" w:styleId="NormalWeb">
    <w:name w:val="Normal (Web)"/>
    <w:basedOn w:val="Normal"/>
    <w:uiPriority w:val="99"/>
    <w:semiHidden/>
    <w:unhideWhenUsed/>
    <w:rsid w:val="002A4B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D37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7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E2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6637">
      <w:bodyDiv w:val="1"/>
      <w:marLeft w:val="0"/>
      <w:marRight w:val="0"/>
      <w:marTop w:val="0"/>
      <w:marBottom w:val="0"/>
      <w:divBdr>
        <w:top w:val="none" w:sz="0" w:space="0" w:color="auto"/>
        <w:left w:val="none" w:sz="0" w:space="0" w:color="auto"/>
        <w:bottom w:val="none" w:sz="0" w:space="0" w:color="auto"/>
        <w:right w:val="none" w:sz="0" w:space="0" w:color="auto"/>
      </w:divBdr>
    </w:div>
    <w:div w:id="1273634684">
      <w:bodyDiv w:val="1"/>
      <w:marLeft w:val="0"/>
      <w:marRight w:val="0"/>
      <w:marTop w:val="0"/>
      <w:marBottom w:val="0"/>
      <w:divBdr>
        <w:top w:val="none" w:sz="0" w:space="0" w:color="auto"/>
        <w:left w:val="none" w:sz="0" w:space="0" w:color="auto"/>
        <w:bottom w:val="none" w:sz="0" w:space="0" w:color="auto"/>
        <w:right w:val="none" w:sz="0" w:space="0" w:color="auto"/>
      </w:divBdr>
    </w:div>
    <w:div w:id="17419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ca.gov/wp-content/uploads/2020/04/4.3.20-EO-N-43-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NHPCO-Telemedicine" TargetMode="External"/><Relationship Id="rId5" Type="http://schemas.openxmlformats.org/officeDocument/2006/relationships/hyperlink" Target="https://tinyurl.com/AID-Telehealth-Medi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Shavelson</dc:creator>
  <cp:keywords/>
  <dc:description/>
  <cp:lastModifiedBy>Lonny Shavelson</cp:lastModifiedBy>
  <cp:revision>3</cp:revision>
  <dcterms:created xsi:type="dcterms:W3CDTF">2020-03-26T00:49:00Z</dcterms:created>
  <dcterms:modified xsi:type="dcterms:W3CDTF">2020-04-04T21:48:00Z</dcterms:modified>
</cp:coreProperties>
</file>